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890AE" w14:textId="3739CF98" w:rsidR="00DE3654" w:rsidRDefault="00DE3654" w:rsidP="00DE3654">
      <w:pPr>
        <w:pStyle w:val="MDPI11articletype"/>
        <w:rPr>
          <w:rFonts w:asciiTheme="minorHAnsi" w:hAnsiTheme="minorHAnsi" w:cstheme="minorHAnsi"/>
          <w:b/>
        </w:rPr>
      </w:pPr>
      <w:r>
        <w:rPr>
          <w:rStyle w:val="field-desc"/>
        </w:rPr>
        <w:t>Case Report</w:t>
      </w:r>
    </w:p>
    <w:p w14:paraId="701F3689" w14:textId="1BEB4BD3" w:rsidR="00343B94" w:rsidRPr="00DE3654" w:rsidRDefault="00343B94" w:rsidP="00DE3654">
      <w:pPr>
        <w:pStyle w:val="MDPI12title"/>
      </w:pPr>
      <w:r w:rsidRPr="00615B25">
        <w:t xml:space="preserve">Atazanavir/ritonavir increased </w:t>
      </w:r>
      <w:proofErr w:type="spellStart"/>
      <w:r w:rsidRPr="00615B25">
        <w:t>tizoxanide</w:t>
      </w:r>
      <w:proofErr w:type="spellEnd"/>
      <w:r w:rsidRPr="00615B25">
        <w:t xml:space="preserve"> exposure from oral nitazoxanide through pharmacokinetic interaction in healthy </w:t>
      </w:r>
      <w:proofErr w:type="gramStart"/>
      <w:r w:rsidRPr="00DE3654">
        <w:t>volunteers</w:t>
      </w:r>
      <w:proofErr w:type="gramEnd"/>
    </w:p>
    <w:p w14:paraId="781DFDA0" w14:textId="77777777" w:rsidR="00F17B51" w:rsidRPr="00DE3654" w:rsidRDefault="00343B94" w:rsidP="00DE3654">
      <w:pPr>
        <w:pStyle w:val="MDPI13authornames"/>
      </w:pPr>
      <w:proofErr w:type="spellStart"/>
      <w:r w:rsidRPr="00DE3654">
        <w:t>Abdulafeez</w:t>
      </w:r>
      <w:proofErr w:type="spellEnd"/>
      <w:r w:rsidRPr="00DE3654">
        <w:t xml:space="preserve"> Akinloye</w:t>
      </w:r>
      <w:r w:rsidRPr="00DE3654">
        <w:rPr>
          <w:vertAlign w:val="superscript"/>
        </w:rPr>
        <w:t>1</w:t>
      </w:r>
      <w:r w:rsidRPr="00DE3654">
        <w:t>; Timothy Oyedeji</w:t>
      </w:r>
      <w:r w:rsidRPr="00DE3654">
        <w:rPr>
          <w:vertAlign w:val="superscript"/>
        </w:rPr>
        <w:t>1</w:t>
      </w:r>
      <w:r w:rsidRPr="00DE3654">
        <w:t>; Oluwasegun Eniayewu</w:t>
      </w:r>
      <w:r w:rsidRPr="00DE3654">
        <w:rPr>
          <w:vertAlign w:val="superscript"/>
        </w:rPr>
        <w:t>1,2</w:t>
      </w:r>
      <w:r w:rsidRPr="00DE3654">
        <w:t>; Babatunde Adeagbo</w:t>
      </w:r>
      <w:r w:rsidRPr="00DE3654">
        <w:rPr>
          <w:vertAlign w:val="superscript"/>
        </w:rPr>
        <w:t>1</w:t>
      </w:r>
      <w:r w:rsidRPr="00DE3654">
        <w:t xml:space="preserve">; </w:t>
      </w:r>
      <w:proofErr w:type="spellStart"/>
      <w:r w:rsidRPr="00DE3654">
        <w:t>Oluseye</w:t>
      </w:r>
      <w:proofErr w:type="spellEnd"/>
      <w:r w:rsidRPr="00DE3654">
        <w:t xml:space="preserve"> Bolaji</w:t>
      </w:r>
      <w:r w:rsidRPr="00DE3654">
        <w:rPr>
          <w:vertAlign w:val="superscript"/>
        </w:rPr>
        <w:t>1</w:t>
      </w:r>
      <w:r w:rsidRPr="00DE3654">
        <w:t>; Steve Rannard</w:t>
      </w:r>
      <w:r w:rsidRPr="00DE3654">
        <w:rPr>
          <w:vertAlign w:val="superscript"/>
        </w:rPr>
        <w:t>3</w:t>
      </w:r>
      <w:r w:rsidRPr="00DE3654">
        <w:t>; Andrew Owen</w:t>
      </w:r>
      <w:r w:rsidRPr="00DE3654">
        <w:rPr>
          <w:vertAlign w:val="superscript"/>
        </w:rPr>
        <w:t>4</w:t>
      </w:r>
      <w:r w:rsidRPr="00DE3654">
        <w:t>; Adeniyi Olagunju</w:t>
      </w:r>
      <w:r w:rsidRPr="00DE3654">
        <w:rPr>
          <w:vertAlign w:val="superscript"/>
        </w:rPr>
        <w:t>4</w:t>
      </w:r>
    </w:p>
    <w:tbl>
      <w:tblPr>
        <w:tblStyle w:val="MDPITable"/>
        <w:tblpPr w:leftFromText="198" w:rightFromText="198" w:vertAnchor="page" w:horzAnchor="margin" w:tblpY="10315"/>
        <w:tblW w:w="2409" w:type="dxa"/>
        <w:tblLayout w:type="fixed"/>
        <w:tblLook w:val="04A0" w:firstRow="1" w:lastRow="0" w:firstColumn="1" w:lastColumn="0" w:noHBand="0" w:noVBand="1"/>
      </w:tblPr>
      <w:tblGrid>
        <w:gridCol w:w="2409"/>
      </w:tblGrid>
      <w:tr w:rsidR="00F17B51" w14:paraId="2B832249" w14:textId="77777777" w:rsidTr="00031685">
        <w:trPr>
          <w:cantSplit/>
        </w:trPr>
        <w:tc>
          <w:tcPr>
            <w:tcW w:w="2409" w:type="dxa"/>
          </w:tcPr>
          <w:p w14:paraId="3197E5A7" w14:textId="77777777" w:rsidR="00F17B51" w:rsidRPr="00F17B51" w:rsidRDefault="00F17B51" w:rsidP="00031685">
            <w:pPr>
              <w:pStyle w:val="MDPI61Citation"/>
            </w:pPr>
            <w:r w:rsidRPr="00F17B51">
              <w:rPr>
                <w:b/>
              </w:rPr>
              <w:t>Citation:</w:t>
            </w:r>
            <w:r w:rsidRPr="00F17B51">
              <w:t xml:space="preserve"> </w:t>
            </w:r>
            <w:proofErr w:type="spellStart"/>
            <w:r w:rsidRPr="00F17B51">
              <w:t>Akinloye</w:t>
            </w:r>
            <w:proofErr w:type="spellEnd"/>
            <w:r w:rsidRPr="00F17B51">
              <w:t xml:space="preserve">, A. Atazanavir/ritonavir increased </w:t>
            </w:r>
            <w:proofErr w:type="spellStart"/>
            <w:r w:rsidRPr="00F17B51">
              <w:t>tizoxanide</w:t>
            </w:r>
            <w:proofErr w:type="spellEnd"/>
            <w:r w:rsidRPr="00F17B51">
              <w:t xml:space="preserve"> exposure from oral nitazoxanide through pharmacokinetic interaction in healthy volunteers. </w:t>
            </w:r>
            <w:r w:rsidRPr="00F17B51">
              <w:rPr>
                <w:i/>
              </w:rPr>
              <w:t xml:space="preserve">Future Pharm. </w:t>
            </w:r>
            <w:r w:rsidRPr="00F17B51">
              <w:rPr>
                <w:b/>
              </w:rPr>
              <w:t>2023</w:t>
            </w:r>
            <w:r w:rsidRPr="00F17B51">
              <w:t xml:space="preserve">, </w:t>
            </w:r>
            <w:r w:rsidRPr="00F17B51">
              <w:rPr>
                <w:i/>
              </w:rPr>
              <w:t>3</w:t>
            </w:r>
            <w:r w:rsidRPr="00F17B51">
              <w:t>, x. https://doi.org/10.3390/xxxxx</w:t>
            </w:r>
          </w:p>
          <w:p w14:paraId="2B51FB54" w14:textId="77777777" w:rsidR="00F17B51" w:rsidRPr="00F17B51" w:rsidRDefault="00F17B51" w:rsidP="00031685">
            <w:pPr>
              <w:pStyle w:val="MDPI15academiceditor"/>
              <w:spacing w:after="120"/>
            </w:pPr>
            <w:r w:rsidRPr="00F17B51">
              <w:t xml:space="preserve">Academic Editor(s): </w:t>
            </w:r>
          </w:p>
          <w:p w14:paraId="0323A02F" w14:textId="77777777" w:rsidR="00F17B51" w:rsidRPr="00F17B51" w:rsidRDefault="00F17B51" w:rsidP="00031685">
            <w:pPr>
              <w:pStyle w:val="MDPI14history"/>
            </w:pPr>
            <w:r w:rsidRPr="00F17B51">
              <w:t>Received: date</w:t>
            </w:r>
          </w:p>
          <w:p w14:paraId="08C4D650" w14:textId="77777777" w:rsidR="00F17B51" w:rsidRPr="00F17B51" w:rsidRDefault="00F17B51" w:rsidP="00031685">
            <w:pPr>
              <w:pStyle w:val="MDPI14history"/>
            </w:pPr>
            <w:r w:rsidRPr="00F17B51">
              <w:t>Revised: date</w:t>
            </w:r>
          </w:p>
          <w:p w14:paraId="025E6720" w14:textId="77777777" w:rsidR="00F17B51" w:rsidRPr="00F17B51" w:rsidRDefault="00F17B51" w:rsidP="00031685">
            <w:pPr>
              <w:pStyle w:val="MDPI14history"/>
            </w:pPr>
            <w:r w:rsidRPr="00F17B51">
              <w:t>Accepted: date</w:t>
            </w:r>
          </w:p>
          <w:p w14:paraId="7AA6F999" w14:textId="77777777" w:rsidR="00F17B51" w:rsidRPr="00F17B51" w:rsidRDefault="00F17B51" w:rsidP="00031685">
            <w:pPr>
              <w:pStyle w:val="MDPI14history"/>
              <w:spacing w:after="120"/>
            </w:pPr>
            <w:r w:rsidRPr="00F17B51">
              <w:t>Published: date</w:t>
            </w:r>
          </w:p>
          <w:p w14:paraId="72C2625D" w14:textId="77777777" w:rsidR="00F17B51" w:rsidRPr="00F17B51" w:rsidRDefault="00F17B51" w:rsidP="00031685">
            <w:pPr>
              <w:pStyle w:val="MDPI14history"/>
              <w:spacing w:before="120"/>
            </w:pPr>
            <w:r w:rsidRPr="00F17B51">
              <w:rPr>
                <w:noProof/>
                <w14:ligatures w14:val="none"/>
              </w:rPr>
              <w:drawing>
                <wp:inline distT="0" distB="0" distL="0" distR="0" wp14:anchorId="60C701D1" wp14:editId="4D9D8AB6">
                  <wp:extent cx="694800" cy="248400"/>
                  <wp:effectExtent l="0" t="0" r="0" b="0"/>
                  <wp:docPr id="792132819" name="Picture 1" descr="A grey and black sign with a person in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792132819" name="Picture 1" descr="A grey and black sign with a person in a circle&#10;&#10;Description automatically generated"/>
                          <pic:cNvPicPr/>
                        </pic:nvPicPr>
                        <pic:blipFill>
                          <a:blip r:embed="rId7"/>
                          <a:stretch>
                            <a:fillRect/>
                          </a:stretch>
                        </pic:blipFill>
                        <pic:spPr>
                          <a:xfrm>
                            <a:off x="0" y="0"/>
                            <a:ext cx="694800" cy="248400"/>
                          </a:xfrm>
                          <a:prstGeom prst="rect">
                            <a:avLst/>
                          </a:prstGeom>
                        </pic:spPr>
                      </pic:pic>
                    </a:graphicData>
                  </a:graphic>
                </wp:inline>
              </w:drawing>
            </w:r>
          </w:p>
          <w:p w14:paraId="26447682" w14:textId="77777777" w:rsidR="00F17B51" w:rsidRPr="00F17B51" w:rsidRDefault="00F17B51" w:rsidP="00031685">
            <w:pPr>
              <w:pStyle w:val="MDPI72Copyright"/>
            </w:pPr>
            <w:r w:rsidRPr="00F17B51">
              <w:rPr>
                <w:b/>
              </w:rPr>
              <w:t>Copyright:</w:t>
            </w:r>
            <w:r w:rsidRPr="00F17B51">
              <w:t xml:space="preserve"> © 2023 by the authors. Submitted for possible open access publication under the terms and conditions of the Creative Commons Attribution (CC BY) license (https://creativecommons.org/licenses/by/4.0/).</w:t>
            </w:r>
          </w:p>
        </w:tc>
      </w:tr>
    </w:tbl>
    <w:p w14:paraId="4C316591" w14:textId="77777777" w:rsidR="00343B94" w:rsidRPr="00DE3654" w:rsidRDefault="00343B94" w:rsidP="00DE3654">
      <w:pPr>
        <w:pStyle w:val="MDPI16affiliation"/>
        <w:ind w:left="2608" w:firstLine="0"/>
      </w:pPr>
      <w:r w:rsidRPr="00DE3654">
        <w:rPr>
          <w:vertAlign w:val="superscript"/>
        </w:rPr>
        <w:t>1</w:t>
      </w:r>
      <w:r w:rsidRPr="00DE3654">
        <w:t xml:space="preserve">Department of Pharmaceutical Chemistry, Obafemi Awolowo University, Ile-Ife, </w:t>
      </w:r>
      <w:proofErr w:type="gramStart"/>
      <w:r w:rsidRPr="00DE3654">
        <w:t>Nigeria;</w:t>
      </w:r>
      <w:proofErr w:type="gramEnd"/>
    </w:p>
    <w:p w14:paraId="1E1255DA" w14:textId="77777777" w:rsidR="00343B94" w:rsidRPr="00DE3654" w:rsidRDefault="00343B94" w:rsidP="00DE3654">
      <w:pPr>
        <w:pStyle w:val="MDPI16affiliation"/>
        <w:ind w:left="2608" w:firstLine="0"/>
      </w:pPr>
      <w:r w:rsidRPr="00DE3654">
        <w:rPr>
          <w:vertAlign w:val="superscript"/>
        </w:rPr>
        <w:t>2</w:t>
      </w:r>
      <w:r w:rsidRPr="00DE3654">
        <w:t xml:space="preserve">Department of Pharmaceutical and Medicinal Chemistry, University of Ilorin, Ilorin, </w:t>
      </w:r>
      <w:proofErr w:type="gramStart"/>
      <w:r w:rsidRPr="00DE3654">
        <w:t>Nigeria;</w:t>
      </w:r>
      <w:proofErr w:type="gramEnd"/>
    </w:p>
    <w:p w14:paraId="40744E6F" w14:textId="77777777" w:rsidR="00343B94" w:rsidRPr="00DE3654" w:rsidRDefault="00343B94" w:rsidP="00DE3654">
      <w:pPr>
        <w:pStyle w:val="MDPI16affiliation"/>
        <w:ind w:left="2608" w:firstLine="0"/>
      </w:pPr>
      <w:r w:rsidRPr="00DE3654">
        <w:rPr>
          <w:vertAlign w:val="superscript"/>
        </w:rPr>
        <w:t>3</w:t>
      </w:r>
      <w:r w:rsidRPr="00DE3654">
        <w:t>Department of Chemistry, University of Liverpool, Liverpool, United Kingdom.</w:t>
      </w:r>
    </w:p>
    <w:p w14:paraId="48F1C1AE" w14:textId="77777777" w:rsidR="00343B94" w:rsidRPr="00615B25" w:rsidRDefault="00343B94" w:rsidP="00DE3654">
      <w:pPr>
        <w:pStyle w:val="MDPI16affiliation"/>
        <w:ind w:left="2608" w:firstLine="0"/>
      </w:pPr>
      <w:r w:rsidRPr="00DE3654">
        <w:rPr>
          <w:vertAlign w:val="superscript"/>
        </w:rPr>
        <w:t>4</w:t>
      </w:r>
      <w:r w:rsidRPr="00DE3654">
        <w:t>Department of Pharmacology and Therapeutics, University of Liverpool, Liverpool, United Kingdom.</w:t>
      </w:r>
    </w:p>
    <w:p w14:paraId="7EAE91E7" w14:textId="5AF12601" w:rsidR="00343B94" w:rsidRPr="00615B25" w:rsidRDefault="00DE3654" w:rsidP="00DE3654">
      <w:pPr>
        <w:pStyle w:val="MDPI16affiliation"/>
      </w:pPr>
      <w:r w:rsidRPr="00DE3654">
        <w:rPr>
          <w:b/>
        </w:rPr>
        <w:t>*</w:t>
      </w:r>
      <w:r w:rsidRPr="00DE3654">
        <w:tab/>
        <w:t xml:space="preserve">Correspondence: </w:t>
      </w:r>
      <w:r w:rsidR="00343B94" w:rsidRPr="00615B25">
        <w:t xml:space="preserve">Dr Adeniyi Olagunju. Department of Pharmacology and Therapeutics, Sherrington Building, Ashton Street, University of Liverpool, Liverpool, L69 3GE, United Kingdom. Tel.: +44 (0)151 794 40418. Email: </w:t>
      </w:r>
      <w:r w:rsidR="00343B94" w:rsidRPr="00DE3654">
        <w:t>olagunju@liverpool.ac.uk</w:t>
      </w:r>
      <w:r w:rsidR="00343B94" w:rsidRPr="00615B25">
        <w:rPr>
          <w:rStyle w:val="Hyperlink"/>
          <w:rFonts w:asciiTheme="minorHAnsi" w:hAnsiTheme="minorHAnsi" w:cstheme="minorHAnsi"/>
        </w:rPr>
        <w:t>.</w:t>
      </w:r>
    </w:p>
    <w:p w14:paraId="19C24676" w14:textId="1BAC9EAF" w:rsidR="00343B94" w:rsidRPr="00DE3654" w:rsidRDefault="00343B94" w:rsidP="00DE3654">
      <w:pPr>
        <w:pStyle w:val="MDPI17abstract"/>
        <w:rPr>
          <w:b/>
        </w:rPr>
      </w:pPr>
      <w:r w:rsidRPr="00DE3654">
        <w:rPr>
          <w:b/>
        </w:rPr>
        <w:t>Abstract</w:t>
      </w:r>
      <w:r w:rsidR="00DE3654" w:rsidRPr="00DE3654">
        <w:rPr>
          <w:b/>
        </w:rPr>
        <w:t xml:space="preserve">: </w:t>
      </w:r>
      <w:r w:rsidRPr="00DE3654">
        <w:t xml:space="preserve">Nitazoxanide use is limited by gastrointestinal side effects associated with increasing dose. In this drug repurposing study, we investigated the possibility of enhancing the exposure of its active metabolite, </w:t>
      </w:r>
      <w:proofErr w:type="spellStart"/>
      <w:r w:rsidRPr="00DE3654">
        <w:t>tizoxanide</w:t>
      </w:r>
      <w:proofErr w:type="spellEnd"/>
      <w:r w:rsidRPr="00DE3654">
        <w:t xml:space="preserve">, through pharmacokinetic interaction with atazanavir/ritonavir. In this crossover drug-drug interaction study, 18 healthy participants received a single dose of 1000mg of nitazoxanide alone and in combination with 300/100mg atazanavir/ritonavir in period 1 and 2 respectively.  On both days, blood samples for intensive pharmacokinetic analyses were collected at 0–12 hours post-dose. To explore the utility of dried blood spots (DBS) as alternative to plasma for </w:t>
      </w:r>
      <w:proofErr w:type="spellStart"/>
      <w:r w:rsidRPr="00DE3654">
        <w:t>tizoxanide</w:t>
      </w:r>
      <w:proofErr w:type="spellEnd"/>
      <w:r w:rsidRPr="00DE3654">
        <w:t xml:space="preserve"> quantification,</w:t>
      </w:r>
      <w:r w:rsidRPr="00DE3654" w:rsidDel="00A42122">
        <w:t xml:space="preserve"> </w:t>
      </w:r>
      <w:r w:rsidRPr="00DE3654">
        <w:t xml:space="preserve">50µL of blood from some participants was spotted on DBS cards and correlated with plasma concentrations. Pharmacokinetic parameters were derived by non-compartmental analysis and compared between both periods. Co-administration of nitazoxanide with atazanavir/ritonavir resulted in a significant increase in </w:t>
      </w:r>
      <w:proofErr w:type="spellStart"/>
      <w:r w:rsidRPr="00DE3654">
        <w:t>tizoxanide</w:t>
      </w:r>
      <w:proofErr w:type="spellEnd"/>
      <w:r w:rsidRPr="00DE3654">
        <w:t xml:space="preserve"> plasma exposure [GMR (90% CI) of AUC</w:t>
      </w:r>
      <w:r w:rsidRPr="00DE3654">
        <w:rPr>
          <w:vertAlign w:val="subscript"/>
        </w:rPr>
        <w:t>0-12h</w:t>
      </w:r>
      <w:r w:rsidRPr="00DE3654">
        <w:t xml:space="preserve">, </w:t>
      </w:r>
      <w:proofErr w:type="spellStart"/>
      <w:r w:rsidRPr="00DE3654">
        <w:t>C</w:t>
      </w:r>
      <w:r w:rsidRPr="00DE3654">
        <w:rPr>
          <w:vertAlign w:val="subscript"/>
        </w:rPr>
        <w:t>max</w:t>
      </w:r>
      <w:proofErr w:type="spellEnd"/>
      <w:r w:rsidRPr="00DE3654">
        <w:t xml:space="preserve"> and C</w:t>
      </w:r>
      <w:r w:rsidRPr="00DE3654">
        <w:rPr>
          <w:vertAlign w:val="subscript"/>
        </w:rPr>
        <w:t>12h</w:t>
      </w:r>
      <w:r w:rsidRPr="00DE3654">
        <w:t xml:space="preserve"> being 1.872 (1.870–1.875), 2.029 (1.99–2.07) and 3.14 (2.268–4.352) respectively]. DBS concentration (%CV) was 46.3% (5.6%) lower than plasma concentrations, and strong correlation (R = 0.95, P</w:t>
      </w:r>
      <w:r w:rsidRPr="00DE3654">
        <w:rPr>
          <w:szCs w:val="20"/>
        </w:rPr>
        <w:t>&lt;</w:t>
      </w:r>
      <w:r w:rsidRPr="00DE3654">
        <w:t xml:space="preserve">0.001) between DBS-derived plasma concentration and plasma concentrations. Co-administration with atazanavir/ritonavir enhanced </w:t>
      </w:r>
      <w:proofErr w:type="spellStart"/>
      <w:r w:rsidRPr="00DE3654">
        <w:t>tizoxanide</w:t>
      </w:r>
      <w:proofErr w:type="spellEnd"/>
      <w:r w:rsidRPr="00DE3654">
        <w:t xml:space="preserve"> exposure with no report of adverse events in healthy volunteers.</w:t>
      </w:r>
    </w:p>
    <w:p w14:paraId="0D621822" w14:textId="77777777" w:rsidR="00656DF4" w:rsidRDefault="00656DF4" w:rsidP="00656DF4">
      <w:pPr>
        <w:pStyle w:val="MDPI18keywords"/>
      </w:pPr>
      <w:r w:rsidRPr="00656DF4">
        <w:rPr>
          <w:b/>
        </w:rPr>
        <w:t>Keywords:</w:t>
      </w:r>
      <w:r w:rsidR="00343B94" w:rsidRPr="00656DF4">
        <w:rPr>
          <w:b/>
        </w:rPr>
        <w:t xml:space="preserve"> </w:t>
      </w:r>
      <w:r w:rsidR="00343B94" w:rsidRPr="00656DF4">
        <w:t xml:space="preserve">Nitazoxanide; </w:t>
      </w:r>
      <w:proofErr w:type="spellStart"/>
      <w:r w:rsidR="00343B94" w:rsidRPr="00656DF4">
        <w:t>tizoxanide</w:t>
      </w:r>
      <w:proofErr w:type="spellEnd"/>
      <w:r w:rsidR="00343B94" w:rsidRPr="00656DF4">
        <w:t>; atazanavir/ritonavir; drug-drug interaction; dried blood spot</w:t>
      </w:r>
    </w:p>
    <w:p w14:paraId="4EB17697" w14:textId="019006D0" w:rsidR="00656DF4" w:rsidRPr="00656DF4" w:rsidRDefault="00656DF4" w:rsidP="00656DF4">
      <w:pPr>
        <w:pStyle w:val="MDPI19line"/>
        <w:pBdr>
          <w:bottom w:val="single" w:sz="4" w:space="1" w:color="000000"/>
        </w:pBdr>
      </w:pPr>
    </w:p>
    <w:p w14:paraId="5D3EFF97" w14:textId="692BC1AA" w:rsidR="00343B94" w:rsidRPr="00615B25" w:rsidRDefault="00343B94" w:rsidP="00656DF4">
      <w:pPr>
        <w:pStyle w:val="MDPI21heading1"/>
      </w:pPr>
      <w:r w:rsidRPr="00615B25">
        <w:t>Introduction</w:t>
      </w:r>
    </w:p>
    <w:p w14:paraId="54E02DA7" w14:textId="77777777" w:rsidR="00343B94" w:rsidRPr="00615B25" w:rsidRDefault="00343B94" w:rsidP="00656DF4">
      <w:pPr>
        <w:pStyle w:val="MDPI31text"/>
        <w:rPr>
          <w:rFonts w:asciiTheme="minorHAnsi" w:hAnsiTheme="minorHAnsi" w:cstheme="minorHAnsi"/>
        </w:rPr>
      </w:pPr>
      <w:r w:rsidRPr="00615B25">
        <w:t xml:space="preserve">Repurposing existing drugs represents a viable option to identify new and effective treatments for emerging pandemics and diseases [1]. This concept is believed to reduce the cost of new drug development and </w:t>
      </w:r>
      <w:proofErr w:type="spellStart"/>
      <w:r w:rsidRPr="00615B25">
        <w:t>minimise</w:t>
      </w:r>
      <w:proofErr w:type="spellEnd"/>
      <w:r w:rsidRPr="00615B25">
        <w:t xml:space="preserve"> the time for therapeutic intervention for new pandemics [2]. Often, repurposing an existing drug for new indications may warrant the modification of the drug formulation, doses, and dosing regimen to achieve the intended efficacy and safety for the new application [3]. One of the emerging strategies to repurpose drugs towards new indications is obtaining drug-drug interaction information. Drug-drug interaction occurs when the presence of a drug influences the effect of another drug, thereby affecting the pharmacokinetics and pharmacodynamic effect of the victim drug, as well as its overall therapeutic effect [1]. Several factors often influence drug interactions, including binding to plasma protein and extravascular sites, food intake, and enzyme activity [4]. In the instance of a pharmacokinetic drug-drug interaction (an </w:t>
      </w:r>
      <w:r w:rsidRPr="00615B25">
        <w:lastRenderedPageBreak/>
        <w:t>interaction that may result in the alteration of the absorption, distribution, metabolism, and excretion of the victim drug), the systemic exposure of the broad-spectrum victim drug may be increased, making it applicable as a repurposed drug for new indications. While drug-drug interaction information represents a potential resource for repurposing existing drugs towards new indications, this approach remains not fully exploited.</w:t>
      </w:r>
    </w:p>
    <w:p w14:paraId="37444BCA" w14:textId="77777777" w:rsidR="00343B94" w:rsidRPr="00615B25" w:rsidRDefault="00343B94" w:rsidP="00656DF4">
      <w:pPr>
        <w:pStyle w:val="MDPI31text"/>
      </w:pPr>
      <w:r w:rsidRPr="00615B25">
        <w:t xml:space="preserve">Nitazoxanide, 2-(acetyloxy)-N-(5-nitro-2-thiazolyl) benzamide, is a </w:t>
      </w:r>
      <w:proofErr w:type="spellStart"/>
      <w:r w:rsidRPr="00615B25">
        <w:t>thiazolide</w:t>
      </w:r>
      <w:proofErr w:type="spellEnd"/>
      <w:r w:rsidRPr="00615B25">
        <w:t xml:space="preserve"> anti-infective agent initially developed for the treatment of veterinary helminthics [5, 6].  It has been studied for its anti-infective and more recently antineoplastic properties as well as activity on bone resorption [7-9]. It possesses a broad-spectrum antimicrobial activity against a wide range of human pathogens, including human helminthics, anaerobic bacteria, and protozoans [10-12]. Nitazoxanide has been reported to have excellent activity against a few non-protozoan parasites such as the intestinal tapeworms </w:t>
      </w:r>
      <w:proofErr w:type="spellStart"/>
      <w:r w:rsidRPr="00615B25">
        <w:rPr>
          <w:i/>
        </w:rPr>
        <w:t>Hymenolepis</w:t>
      </w:r>
      <w:proofErr w:type="spellEnd"/>
      <w:r w:rsidRPr="00615B25">
        <w:rPr>
          <w:i/>
        </w:rPr>
        <w:t xml:space="preserve"> nana</w:t>
      </w:r>
      <w:r w:rsidRPr="00615B25">
        <w:t xml:space="preserve"> and </w:t>
      </w:r>
      <w:r w:rsidRPr="00615B25">
        <w:rPr>
          <w:i/>
        </w:rPr>
        <w:t xml:space="preserve">Trichuris </w:t>
      </w:r>
      <w:proofErr w:type="spellStart"/>
      <w:r w:rsidRPr="00615B25">
        <w:rPr>
          <w:i/>
        </w:rPr>
        <w:t>trichiura</w:t>
      </w:r>
      <w:proofErr w:type="spellEnd"/>
      <w:r w:rsidRPr="00615B25">
        <w:rPr>
          <w:i/>
        </w:rPr>
        <w:t xml:space="preserve"> </w:t>
      </w:r>
      <w:r w:rsidRPr="00615B25">
        <w:t xml:space="preserve">as well as against viruses, including enteric, human immunodeficiency virus, the Middle East respiratory syndrome, viral hepatitis, the rotaviruses and </w:t>
      </w:r>
      <w:proofErr w:type="spellStart"/>
      <w:r w:rsidRPr="00615B25">
        <w:t>ebola</w:t>
      </w:r>
      <w:proofErr w:type="spellEnd"/>
      <w:r w:rsidRPr="00615B25">
        <w:t xml:space="preserve"> virus [13-17]. Nitazoxanide is rapidly metabolism to its active metabolite </w:t>
      </w:r>
      <w:proofErr w:type="spellStart"/>
      <w:r w:rsidRPr="00615B25">
        <w:t>tizoxanide</w:t>
      </w:r>
      <w:proofErr w:type="spellEnd"/>
      <w:r w:rsidRPr="00615B25">
        <w:t xml:space="preserve"> which is highly bound to plasma proteins, and the inactive </w:t>
      </w:r>
      <w:proofErr w:type="spellStart"/>
      <w:r w:rsidRPr="00615B25">
        <w:t>tizoxanide</w:t>
      </w:r>
      <w:proofErr w:type="spellEnd"/>
      <w:r w:rsidRPr="00615B25">
        <w:t xml:space="preserve">-glucuronide [18]. Recently, it was reported to possess </w:t>
      </w:r>
      <w:r w:rsidRPr="00615B25">
        <w:rPr>
          <w:i/>
        </w:rPr>
        <w:t>in-vitro</w:t>
      </w:r>
      <w:r w:rsidRPr="00615B25">
        <w:t xml:space="preserve"> antiviral activity against SARS-CoV-2 and was investigated in several drug repurposing trials for COVID-19 management [19, 20]. </w:t>
      </w:r>
    </w:p>
    <w:p w14:paraId="521C6258" w14:textId="77777777" w:rsidR="00343B94" w:rsidRPr="00615B25" w:rsidRDefault="00343B94" w:rsidP="00656DF4">
      <w:pPr>
        <w:pStyle w:val="MDPI31text"/>
      </w:pPr>
      <w:r w:rsidRPr="00615B25">
        <w:t xml:space="preserve">However, efficacy against a new pathogen often requires systemic exposure levels that are not achievable at the approved dose [21]. In addition to the time lost to getting a new dose approved in a disease outbreak, tolerability may be compromised with higher doses. This has been reported for nitazoxanide whose clinical use is limited by severe gastrointestinal adverse events. </w:t>
      </w:r>
      <w:bookmarkStart w:id="0" w:name="_Hlk145155124"/>
      <w:r w:rsidRPr="00615B25">
        <w:t xml:space="preserve">These adverse events have been reported to be associated with increasing doses of nitazoxanide higher than 1000 mg that are capable of disrupting patients’ activities [22-24]. </w:t>
      </w:r>
      <w:bookmarkEnd w:id="0"/>
      <w:r w:rsidRPr="00615B25">
        <w:t>As a result, the recommended and currently approved dose is 500 mg twice daily, but 1000 mg has been used in previous studies with higher tolerability [25].</w:t>
      </w:r>
    </w:p>
    <w:p w14:paraId="25F59B45" w14:textId="77777777" w:rsidR="00343B94" w:rsidRPr="00615B25" w:rsidRDefault="00343B94" w:rsidP="00656DF4">
      <w:pPr>
        <w:pStyle w:val="MDPI31text"/>
        <w:rPr>
          <w:b/>
        </w:rPr>
      </w:pPr>
      <w:r w:rsidRPr="00615B25">
        <w:t>Precedent exists for concomitant administration of a drug with another agent that inhibits or induces certain aspect(s) of its disposition pathway to improve systemic exposure, a strategy known as pharmacokinetic boosting. This has been applied to drugs used in the treatment of different disease such as HIV and cancer [26-30]. Interaction between nitazoxanide and atazanavir/ritonavir has not been reported. However, since viral protease inhibitors inhibit uridine 5’-diphospho-glucuronosyltransferase (UDP-glucuronosyltransferase, UGT)</w:t>
      </w:r>
      <w:r w:rsidRPr="00615B25" w:rsidDel="00C21D91">
        <w:t xml:space="preserve"> </w:t>
      </w:r>
      <w:r w:rsidRPr="00615B25">
        <w:t xml:space="preserve">enzymes [31], atazanavir/ritonavir is expected to inhibit the glucuronidation of </w:t>
      </w:r>
      <w:proofErr w:type="spellStart"/>
      <w:r w:rsidRPr="00615B25">
        <w:t>tizoxanide</w:t>
      </w:r>
      <w:proofErr w:type="spellEnd"/>
      <w:r w:rsidRPr="00615B25">
        <w:t>, potentially increasing its exposure. We conducted a single-dose study in healthy volunteers to explore this concept.</w:t>
      </w:r>
    </w:p>
    <w:p w14:paraId="24B7D5DE" w14:textId="77777777" w:rsidR="00343B94" w:rsidRPr="00615B25" w:rsidRDefault="00343B94" w:rsidP="00656DF4">
      <w:pPr>
        <w:pStyle w:val="MDPI21heading1"/>
      </w:pPr>
      <w:r w:rsidRPr="00615B25">
        <w:t>Methods</w:t>
      </w:r>
    </w:p>
    <w:p w14:paraId="3B946F87" w14:textId="77777777" w:rsidR="00343B94" w:rsidRPr="00656DF4" w:rsidRDefault="00343B94" w:rsidP="00656DF4">
      <w:pPr>
        <w:pStyle w:val="MDPI22heading2"/>
      </w:pPr>
      <w:r w:rsidRPr="00656DF4">
        <w:t>Study Design and Participants</w:t>
      </w:r>
    </w:p>
    <w:p w14:paraId="48876BA1" w14:textId="77777777" w:rsidR="00343B94" w:rsidRPr="00615B25" w:rsidRDefault="00343B94" w:rsidP="00656DF4">
      <w:pPr>
        <w:pStyle w:val="MDPI31text"/>
      </w:pPr>
      <w:r w:rsidRPr="00615B25">
        <w:t xml:space="preserve">This was a single </w:t>
      </w:r>
      <w:proofErr w:type="spellStart"/>
      <w:r w:rsidRPr="00615B25">
        <w:t>centre</w:t>
      </w:r>
      <w:proofErr w:type="spellEnd"/>
      <w:r w:rsidRPr="00615B25">
        <w:t>, open-label, two-period crossover study, with a 3-week washout period in between. In period 1, participants received a single dose of 1000 mg of nitazoxanide alone (two 500 mg tablets) in the morning after a regular local meal. Following a 3-week washout period, participants received a single dose of 1000 mg of nitazoxanide (two 500 mg tablets) along with a single dose of 300 mg and 100 mg atazanavir/ritonavir (co-formulated tablet) in period 2. That is nitazoxanide plus atazanavir/ritonavir in the morning. The study protocol was reviewed by the Institute of Public Health, Obafemi Awolowo University Ile-Ife, Nigeria and approved on 16 December 2020 (IPH/OAU/12/1574). The study is registered on ClinicalTrials.gov (NCT05680792). Participants were recruited from the community of Obafemi Awolowo University Ile-Ife,</w:t>
      </w:r>
      <w:r w:rsidRPr="00615B25" w:rsidDel="00D0248E">
        <w:t xml:space="preserve"> </w:t>
      </w:r>
      <w:r w:rsidRPr="00615B25">
        <w:t xml:space="preserve">and included healthy individuals who were at least 18 years old, able to understand the study information, non-smokers, and non-alcoholics. Individuals who were pregnant, breastfeeding, have taken any medication or coffee within 2 weeks of their participation, or allergic to nitazoxanide, atazanavir, or ritonavir were excluded. Only participants who </w:t>
      </w:r>
      <w:r w:rsidRPr="00615B25">
        <w:lastRenderedPageBreak/>
        <w:t xml:space="preserve">agreed to participate after understanding the study procedure and who signed the informed consent form were enrolment. </w:t>
      </w:r>
    </w:p>
    <w:p w14:paraId="0E38D44F" w14:textId="77777777" w:rsidR="00343B94" w:rsidRPr="00656DF4" w:rsidRDefault="00343B94" w:rsidP="00656DF4">
      <w:pPr>
        <w:pStyle w:val="MDPI22heading2"/>
        <w:spacing w:before="240"/>
      </w:pPr>
      <w:r w:rsidRPr="00656DF4">
        <w:t>Sample Collection</w:t>
      </w:r>
    </w:p>
    <w:p w14:paraId="3535A5DA" w14:textId="77777777" w:rsidR="00343B94" w:rsidRPr="00615B25" w:rsidRDefault="00343B94" w:rsidP="00656DF4">
      <w:pPr>
        <w:pStyle w:val="MDPI31text"/>
      </w:pPr>
      <w:r w:rsidRPr="00615B25">
        <w:t>Intensive pharmacokinetic sampling was conducted after an observed single dose in each of the two periods. This involved the collection of 2 mL venous blood into EDTA tubes at 0, 0.25, 0.5, 1, 2, 4, 6, and 12 h after dose. Plasma was separated from the blood cells by immediate centrifugation at 3000 rpm for 5 min at 4</w:t>
      </w:r>
      <w:r w:rsidRPr="00615B25">
        <w:rPr>
          <w:vertAlign w:val="superscript"/>
        </w:rPr>
        <w:t>o</w:t>
      </w:r>
      <w:r w:rsidRPr="00615B25">
        <w:t>C. Plasma samples were transferred into cryovials and stored at -70</w:t>
      </w:r>
      <w:r w:rsidRPr="00615B25">
        <w:rPr>
          <w:vertAlign w:val="superscript"/>
        </w:rPr>
        <w:t>o</w:t>
      </w:r>
      <w:r w:rsidRPr="00615B25">
        <w:t>C until analysis. To evaluate the potential utility of the dried blood spot (DBS) method and for its cross-validation against the plasma method, intensive pharmacokinetic DBS samples were prepared from blood samples from six individuals in period 1 and six individuals in period 2. Briefly, before plasma separation from venous blood from each time point as described above, 50 µL blood volume per spot</w:t>
      </w:r>
      <w:r w:rsidRPr="00615B25" w:rsidDel="008279F5">
        <w:t xml:space="preserve"> </w:t>
      </w:r>
      <w:r w:rsidRPr="00615B25">
        <w:t>was spotted within the marked circles of Whatman 903® Protein Saver card (GE Healthcare Life Sciences, New York, USA). The cards were allowed to dry at room temperature for 2 h before they were packed into zip-lock bags containing desiccants and stored at -70</w:t>
      </w:r>
      <w:r w:rsidRPr="00615B25">
        <w:rPr>
          <w:vertAlign w:val="superscript"/>
        </w:rPr>
        <w:t>o</w:t>
      </w:r>
      <w:r w:rsidRPr="00615B25">
        <w:t xml:space="preserve">C until analysis. Both plasma and DBS samples were </w:t>
      </w:r>
      <w:proofErr w:type="spellStart"/>
      <w:r w:rsidRPr="00615B25">
        <w:t>analysed</w:t>
      </w:r>
      <w:proofErr w:type="spellEnd"/>
      <w:r w:rsidRPr="00615B25">
        <w:t xml:space="preserve"> within one week of collection.</w:t>
      </w:r>
    </w:p>
    <w:p w14:paraId="3A561CA8" w14:textId="77777777" w:rsidR="00343B94" w:rsidRPr="00656DF4" w:rsidRDefault="00343B94" w:rsidP="00656DF4">
      <w:pPr>
        <w:pStyle w:val="MDPI22heading2"/>
        <w:spacing w:before="240"/>
      </w:pPr>
      <w:r w:rsidRPr="00656DF4">
        <w:t>Bioanalysis of Study Samples</w:t>
      </w:r>
    </w:p>
    <w:p w14:paraId="14962A8E" w14:textId="77777777" w:rsidR="00343B94" w:rsidRPr="00615B25" w:rsidRDefault="00343B94" w:rsidP="00656DF4">
      <w:pPr>
        <w:pStyle w:val="MDPI31text"/>
        <w:rPr>
          <w:color w:val="333333"/>
        </w:rPr>
      </w:pPr>
      <w:r w:rsidRPr="00615B25">
        <w:t xml:space="preserve">Quantification of </w:t>
      </w:r>
      <w:proofErr w:type="spellStart"/>
      <w:r w:rsidRPr="00615B25">
        <w:t>tizoxanide</w:t>
      </w:r>
      <w:proofErr w:type="spellEnd"/>
      <w:r w:rsidRPr="00615B25">
        <w:t xml:space="preserve"> in plasma and DBS was carried out using an earlier reported LC-MS/MS method [32], modified and partially validated as follows. </w:t>
      </w:r>
      <w:r w:rsidRPr="00615B25">
        <w:rPr>
          <w:color w:val="333333"/>
        </w:rPr>
        <w:t>The liquid chromatography (LC) system consisted of Accela Open Autosampler and an Accela LC-Pump (</w:t>
      </w:r>
      <w:proofErr w:type="spellStart"/>
      <w:r w:rsidRPr="00615B25">
        <w:rPr>
          <w:color w:val="333333"/>
        </w:rPr>
        <w:t>Thermo</w:t>
      </w:r>
      <w:proofErr w:type="spellEnd"/>
      <w:r w:rsidRPr="00615B25">
        <w:rPr>
          <w:color w:val="333333"/>
        </w:rPr>
        <w:t xml:space="preserve"> Fischer Scientific, Hemel Hempstead, UK). Chromatographic separation was carried out on a reverse phase Fortis™ C</w:t>
      </w:r>
      <w:r w:rsidRPr="00615B25">
        <w:rPr>
          <w:color w:val="333333"/>
          <w:vertAlign w:val="subscript"/>
        </w:rPr>
        <w:t>18</w:t>
      </w:r>
      <w:r w:rsidRPr="00615B25">
        <w:rPr>
          <w:color w:val="333333"/>
        </w:rPr>
        <w:t xml:space="preserve"> column (3 µm particle size, 100 mm x 2.1 mm; Fortis Technologies Ltd, Neston, Cheshire, UK) with a 2 </w:t>
      </w:r>
      <w:proofErr w:type="spellStart"/>
      <w:r w:rsidRPr="00615B25">
        <w:rPr>
          <w:color w:val="333333"/>
        </w:rPr>
        <w:t>μm</w:t>
      </w:r>
      <w:proofErr w:type="spellEnd"/>
      <w:r w:rsidRPr="00615B25">
        <w:rPr>
          <w:color w:val="333333"/>
        </w:rPr>
        <w:t xml:space="preserve"> C</w:t>
      </w:r>
      <w:r w:rsidRPr="00615B25">
        <w:rPr>
          <w:color w:val="333333"/>
          <w:vertAlign w:val="subscript"/>
        </w:rPr>
        <w:t>18</w:t>
      </w:r>
      <w:r w:rsidRPr="00615B25">
        <w:rPr>
          <w:color w:val="333333"/>
        </w:rPr>
        <w:t xml:space="preserve"> Quest guard-column (</w:t>
      </w:r>
      <w:proofErr w:type="spellStart"/>
      <w:r w:rsidRPr="00615B25">
        <w:rPr>
          <w:color w:val="333333"/>
        </w:rPr>
        <w:t>Thermo</w:t>
      </w:r>
      <w:proofErr w:type="spellEnd"/>
      <w:r w:rsidRPr="00615B25">
        <w:rPr>
          <w:color w:val="333333"/>
        </w:rPr>
        <w:t xml:space="preserve"> Electron Corporation, Hemel Hempstead, Hertfordshire, UK). Gradient elution consisted of 10 mM ammonium </w:t>
      </w:r>
      <w:proofErr w:type="spellStart"/>
      <w:r w:rsidRPr="00615B25">
        <w:rPr>
          <w:color w:val="333333"/>
        </w:rPr>
        <w:t>formate</w:t>
      </w:r>
      <w:proofErr w:type="spellEnd"/>
      <w:r w:rsidRPr="00615B25">
        <w:rPr>
          <w:color w:val="333333"/>
        </w:rPr>
        <w:t xml:space="preserve"> in acetonitrile (mobile phase A) and 10 mM ammonium </w:t>
      </w:r>
      <w:proofErr w:type="spellStart"/>
      <w:r w:rsidRPr="00615B25">
        <w:rPr>
          <w:color w:val="333333"/>
        </w:rPr>
        <w:t>formate</w:t>
      </w:r>
      <w:proofErr w:type="spellEnd"/>
      <w:r w:rsidRPr="00615B25">
        <w:rPr>
          <w:color w:val="333333"/>
        </w:rPr>
        <w:t xml:space="preserve"> in water (mobile phase B) at a flow rate of 400 µL/min. The gradient program started with 5% of mobile phase A, maintained for 1 minute, and increased to 80% at 1.5 min. It was further increased to 95% at 4 min and returned to 5% at 6 min. The total run time was 6 min. Detection and quantification was on the TSQ Vantage (</w:t>
      </w:r>
      <w:proofErr w:type="spellStart"/>
      <w:r w:rsidRPr="00615B25">
        <w:rPr>
          <w:color w:val="333333"/>
        </w:rPr>
        <w:t>Thermo</w:t>
      </w:r>
      <w:proofErr w:type="spellEnd"/>
      <w:r w:rsidRPr="00615B25">
        <w:rPr>
          <w:color w:val="333333"/>
        </w:rPr>
        <w:t xml:space="preserve"> Electron Corporation, Hemel Hempstead, Hertfordshire, UK) with a heated electrospray </w:t>
      </w:r>
      <w:proofErr w:type="spellStart"/>
      <w:r w:rsidRPr="00615B25">
        <w:rPr>
          <w:color w:val="333333"/>
        </w:rPr>
        <w:t>ionisation</w:t>
      </w:r>
      <w:proofErr w:type="spellEnd"/>
      <w:r w:rsidRPr="00615B25">
        <w:rPr>
          <w:color w:val="333333"/>
        </w:rPr>
        <w:t xml:space="preserve"> source operated in the negative ionization mode and selective reaction monitoring. </w:t>
      </w:r>
      <w:proofErr w:type="spellStart"/>
      <w:r w:rsidRPr="00615B25">
        <w:rPr>
          <w:color w:val="333333"/>
        </w:rPr>
        <w:t>Xcalibur</w:t>
      </w:r>
      <w:proofErr w:type="spellEnd"/>
      <w:r w:rsidRPr="00615B25">
        <w:rPr>
          <w:color w:val="333333"/>
        </w:rPr>
        <w:t xml:space="preserve">™ was used for compound tuning and </w:t>
      </w:r>
      <w:r w:rsidRPr="00615B25">
        <w:rPr>
          <w:color w:val="333333"/>
        </w:rPr>
        <w:pgNum/>
      </w:r>
      <w:proofErr w:type="spellStart"/>
      <w:r w:rsidRPr="00615B25">
        <w:rPr>
          <w:color w:val="333333"/>
        </w:rPr>
        <w:t>ptimization</w:t>
      </w:r>
      <w:proofErr w:type="spellEnd"/>
      <w:r w:rsidRPr="00615B25">
        <w:rPr>
          <w:color w:val="333333"/>
        </w:rPr>
        <w:t xml:space="preserve"> while the </w:t>
      </w:r>
      <w:proofErr w:type="spellStart"/>
      <w:r w:rsidRPr="00615B25">
        <w:rPr>
          <w:color w:val="333333"/>
        </w:rPr>
        <w:t>Lcquan</w:t>
      </w:r>
      <w:proofErr w:type="spellEnd"/>
      <w:r w:rsidRPr="00615B25">
        <w:rPr>
          <w:color w:val="333333"/>
        </w:rPr>
        <w:t xml:space="preserve">™ (version 2.7.0, </w:t>
      </w:r>
      <w:proofErr w:type="spellStart"/>
      <w:r w:rsidRPr="00615B25">
        <w:rPr>
          <w:color w:val="333333"/>
        </w:rPr>
        <w:t>Thermo</w:t>
      </w:r>
      <w:proofErr w:type="spellEnd"/>
      <w:r w:rsidRPr="00615B25">
        <w:rPr>
          <w:color w:val="333333"/>
        </w:rPr>
        <w:t xml:space="preserve"> Fisher Scientific, Hemel Hempstead, UK) was used for sequence acquisition and data processing.</w:t>
      </w:r>
    </w:p>
    <w:p w14:paraId="5FEB5509" w14:textId="77777777" w:rsidR="00343B94" w:rsidRPr="00615B25" w:rsidRDefault="00343B94" w:rsidP="00656DF4">
      <w:pPr>
        <w:pStyle w:val="MDPI31text"/>
      </w:pPr>
      <w:proofErr w:type="spellStart"/>
      <w:r w:rsidRPr="00615B25">
        <w:t>Tizoxanide</w:t>
      </w:r>
      <w:proofErr w:type="spellEnd"/>
      <w:r w:rsidRPr="00615B25">
        <w:t xml:space="preserve"> plasma and DBS calibration standards and quality control (QC) samples were prepared to validate the method. The </w:t>
      </w:r>
      <w:proofErr w:type="spellStart"/>
      <w:r w:rsidRPr="00615B25">
        <w:t>ccalibration</w:t>
      </w:r>
      <w:proofErr w:type="spellEnd"/>
      <w:r w:rsidRPr="00615B25">
        <w:t xml:space="preserve"> standards for </w:t>
      </w:r>
      <w:proofErr w:type="spellStart"/>
      <w:r w:rsidRPr="00615B25">
        <w:t>tizoxanide</w:t>
      </w:r>
      <w:proofErr w:type="spellEnd"/>
      <w:r w:rsidRPr="00615B25">
        <w:t xml:space="preserve"> plasma and DBS assay consisted of zero blank and 9 calibrator levels ranging from 50 to 20000 ng/mL, prepared by serial dilution of plasma</w:t>
      </w:r>
      <w:r w:rsidRPr="00615B25" w:rsidDel="005031E4">
        <w:t xml:space="preserve"> </w:t>
      </w:r>
      <w:r w:rsidRPr="00615B25">
        <w:t xml:space="preserve">working stock of </w:t>
      </w:r>
      <w:proofErr w:type="spellStart"/>
      <w:r w:rsidRPr="00615B25">
        <w:t>tizoxanide</w:t>
      </w:r>
      <w:proofErr w:type="spellEnd"/>
      <w:r w:rsidRPr="00615B25">
        <w:t xml:space="preserve"> with drug-free plasma from a healthy volunteer. The QC samples included a lower limit of quantitation (LLOQ; 50 ng/mL), low-QC (LQC; 120 ng/mL), medium-QC (MQC; 8600 ng/mL) and high-QC (HQC; 18000 ng/mL), similarly prepared from a different working stock. All working stock solutions and plasma working stock were prepared from a 1 mg/mL stock solution prepared from </w:t>
      </w:r>
      <w:proofErr w:type="spellStart"/>
      <w:r w:rsidRPr="00615B25">
        <w:t>tizoxanide</w:t>
      </w:r>
      <w:proofErr w:type="spellEnd"/>
      <w:r w:rsidRPr="00615B25">
        <w:t xml:space="preserve"> reference compound (Toronto Research Chemicals Inc., Toronto, ON, Canada). Efavirenz (Selleck Chemicals LLC, Houston, USA) was used as internal standard.</w:t>
      </w:r>
    </w:p>
    <w:p w14:paraId="622A3719" w14:textId="77777777" w:rsidR="00343B94" w:rsidRPr="00615B25" w:rsidRDefault="00343B94" w:rsidP="00656DF4">
      <w:pPr>
        <w:pStyle w:val="MDPI31text"/>
      </w:pPr>
      <w:r w:rsidRPr="00615B25">
        <w:t xml:space="preserve">Extraction of </w:t>
      </w:r>
      <w:proofErr w:type="spellStart"/>
      <w:r w:rsidRPr="00615B25">
        <w:t>tizoxanide</w:t>
      </w:r>
      <w:proofErr w:type="spellEnd"/>
      <w:r w:rsidRPr="00615B25">
        <w:t xml:space="preserve"> from the plasma validation samples and </w:t>
      </w:r>
      <w:proofErr w:type="spellStart"/>
      <w:r w:rsidRPr="00615B25">
        <w:t>particpants</w:t>
      </w:r>
      <w:proofErr w:type="spellEnd"/>
      <w:r w:rsidRPr="00615B25">
        <w:t xml:space="preserve"> samples was carried out by protein precipitation method using acetonitrile. Briefly, 100 µL of plasma was transferred into clean 7 mL extraction tubes, followed by the addition of 20 µL of internal standard (efavirenz; 750 ng/mL) and 20 µL of formic acid. One thousand µL of acetonitrile was then added and vortexed for 10 s to precipitate proteins. The extract </w:t>
      </w:r>
      <w:r w:rsidRPr="00615B25">
        <w:lastRenderedPageBreak/>
        <w:t>was left to stand for 10 min and vortexed again for 10 s before centrifugation at 3500 rpm for 10 min at 4</w:t>
      </w:r>
      <w:r w:rsidRPr="00615B25">
        <w:rPr>
          <w:vertAlign w:val="superscript"/>
        </w:rPr>
        <w:t>o</w:t>
      </w:r>
      <w:r w:rsidRPr="00615B25">
        <w:t>C. A 400 µL of the supernatant was transferred into 400 µL glass autosampler vials and the injection volume was 25 µL. For DBS, three 6 mm punches were taken from a spot per sample and transferred into 7 mL extraction tubes with screw caps. Five hundred µL of acetonitrile and 20 µL of internal standard (efavirenz; 750 ng/mL) were added and vortexed for 10 s. The tubes were left to stand for 30 min, and vortexed for 10 s every 10 min. The extracts were centrifuged at 4000 rpm for 15 min at 4</w:t>
      </w:r>
      <w:r w:rsidRPr="00615B25">
        <w:rPr>
          <w:vertAlign w:val="superscript"/>
        </w:rPr>
        <w:t>o</w:t>
      </w:r>
      <w:r w:rsidRPr="00615B25">
        <w:t>C and 400 µL of the supernatants were transferred into another clean 7 mL extraction tube. 20 µL of formic acid was added to the supernatant and the samples were vortexed again. Four hundred µL of the final extract was transferred into 400 µL glass autosampler vials and 25 µL was injected. At least 8 validation assay batches for precision and accuracy were run for each sample type, and additional assay batches for selectivity, recovery, matrix effect, and extraction efficiency.</w:t>
      </w:r>
    </w:p>
    <w:p w14:paraId="0890AB74" w14:textId="77777777" w:rsidR="00343B94" w:rsidRPr="00615B25" w:rsidRDefault="00343B94" w:rsidP="00656DF4">
      <w:pPr>
        <w:pStyle w:val="MDPI31text"/>
        <w:rPr>
          <w:b/>
        </w:rPr>
      </w:pPr>
      <w:r w:rsidRPr="00615B25">
        <w:t xml:space="preserve">Plasma and DBS samples obtained from the study participants were </w:t>
      </w:r>
      <w:proofErr w:type="spellStart"/>
      <w:r w:rsidRPr="00615B25">
        <w:t>analysed</w:t>
      </w:r>
      <w:proofErr w:type="spellEnd"/>
      <w:r w:rsidRPr="00615B25">
        <w:t xml:space="preserve"> in the same way as described above. </w:t>
      </w:r>
    </w:p>
    <w:p w14:paraId="310E2DCD" w14:textId="77777777" w:rsidR="00343B94" w:rsidRPr="00656DF4" w:rsidRDefault="00343B94" w:rsidP="00656DF4">
      <w:pPr>
        <w:pStyle w:val="MDPI22heading2"/>
        <w:spacing w:before="240"/>
      </w:pPr>
      <w:r w:rsidRPr="00656DF4">
        <w:t>Data Analysis</w:t>
      </w:r>
    </w:p>
    <w:p w14:paraId="07FFCED8" w14:textId="77777777" w:rsidR="00343B94" w:rsidRPr="00615B25" w:rsidRDefault="00343B94" w:rsidP="00656DF4">
      <w:pPr>
        <w:pStyle w:val="MDPI31text"/>
        <w:rPr>
          <w:b/>
        </w:rPr>
      </w:pPr>
      <w:r w:rsidRPr="00615B25">
        <w:t xml:space="preserve">Bioanalytical method validation data were processed using Excel® (Microsoft Inc., Washington, USA) and assessed using FDA guidance [33]. For instance, accuracy and precision were only accepted if the %CV were less than ±15% for all QCs except for LLOQ, which was ±20%. Additionally, for the calibration curve, the non-zero calibrators should be ±15% of nominal (theoretical) concentrations, except at LLOQ where the calibrator should be ±20% of the nominal concentrations in each validation run. </w:t>
      </w:r>
      <w:proofErr w:type="spellStart"/>
      <w:r w:rsidRPr="00615B25">
        <w:t>Tizoxanide</w:t>
      </w:r>
      <w:proofErr w:type="spellEnd"/>
      <w:r w:rsidRPr="00615B25">
        <w:t xml:space="preserve"> pharmacokinetic parameters (AUC</w:t>
      </w:r>
      <w:r w:rsidRPr="00615B25">
        <w:rPr>
          <w:vertAlign w:val="subscript"/>
        </w:rPr>
        <w:t>0-12h</w:t>
      </w:r>
      <w:r w:rsidRPr="00615B25">
        <w:t xml:space="preserve">, </w:t>
      </w:r>
      <w:proofErr w:type="spellStart"/>
      <w:r w:rsidRPr="00615B25">
        <w:t>C</w:t>
      </w:r>
      <w:r w:rsidRPr="00615B25">
        <w:rPr>
          <w:vertAlign w:val="subscript"/>
        </w:rPr>
        <w:t>max</w:t>
      </w:r>
      <w:proofErr w:type="spellEnd"/>
      <w:r w:rsidRPr="00615B25">
        <w:t>, C</w:t>
      </w:r>
      <w:r w:rsidRPr="00615B25">
        <w:rPr>
          <w:vertAlign w:val="subscript"/>
        </w:rPr>
        <w:t>12</w:t>
      </w:r>
      <w:r w:rsidRPr="00615B25">
        <w:t xml:space="preserve"> and </w:t>
      </w:r>
      <w:proofErr w:type="spellStart"/>
      <w:r w:rsidRPr="00615B25">
        <w:t>t</w:t>
      </w:r>
      <w:r w:rsidRPr="00615B25">
        <w:rPr>
          <w:vertAlign w:val="subscript"/>
        </w:rPr>
        <w:t>max</w:t>
      </w:r>
      <w:proofErr w:type="spellEnd"/>
      <w:r w:rsidRPr="00615B25">
        <w:t>) from the concentration-time data for both periods were obtained by non-compartmental analysis using GraphPad Prism® (GraphPad Software, La Jolla, CA). In line with the FDA guidance, geometric mean ratios and their 90% CIs were calculated for AUC</w:t>
      </w:r>
      <w:r w:rsidRPr="00615B25">
        <w:rPr>
          <w:vertAlign w:val="subscript"/>
        </w:rPr>
        <w:t>0-12</w:t>
      </w:r>
      <w:r w:rsidRPr="00615B25">
        <w:t xml:space="preserve">, </w:t>
      </w:r>
      <w:proofErr w:type="spellStart"/>
      <w:r w:rsidRPr="00615B25">
        <w:t>C</w:t>
      </w:r>
      <w:r w:rsidRPr="00615B25">
        <w:rPr>
          <w:vertAlign w:val="subscript"/>
        </w:rPr>
        <w:t>max</w:t>
      </w:r>
      <w:proofErr w:type="spellEnd"/>
      <w:r w:rsidRPr="00615B25">
        <w:t>, and C</w:t>
      </w:r>
      <w:r w:rsidRPr="00615B25">
        <w:rPr>
          <w:vertAlign w:val="subscript"/>
        </w:rPr>
        <w:t xml:space="preserve">12 </w:t>
      </w:r>
      <w:r w:rsidRPr="00615B25">
        <w:t>to assess the clinical significance of any observed interaction [34]. For the cross validation of the plasma and DBS methods, linear regression was first used to describe the relationship between measured plasma and DBS concentrations. The DBS-derived plasma concentrations were calculated from the equation DBS-derived plasma = [</w:t>
      </w:r>
      <w:proofErr w:type="spellStart"/>
      <w:r w:rsidRPr="00615B25">
        <w:t>DBS</w:t>
      </w:r>
      <w:r w:rsidRPr="00615B25">
        <w:rPr>
          <w:vertAlign w:val="subscript"/>
        </w:rPr>
        <w:t>conc</w:t>
      </w:r>
      <w:proofErr w:type="spellEnd"/>
      <w:proofErr w:type="gramStart"/>
      <w:r w:rsidRPr="00615B25">
        <w:t>/(</w:t>
      </w:r>
      <w:proofErr w:type="gramEnd"/>
      <w:r w:rsidRPr="00615B25">
        <w:t xml:space="preserve">1 – </w:t>
      </w:r>
      <w:proofErr w:type="spellStart"/>
      <w:r w:rsidRPr="00615B25">
        <w:t>hct</w:t>
      </w:r>
      <w:proofErr w:type="spellEnd"/>
      <w:r w:rsidRPr="00615B25">
        <w:t xml:space="preserve">)]x0.999 [35], where </w:t>
      </w:r>
      <w:proofErr w:type="spellStart"/>
      <w:r w:rsidRPr="00615B25">
        <w:t>DBS</w:t>
      </w:r>
      <w:r w:rsidRPr="00615B25">
        <w:rPr>
          <w:vertAlign w:val="subscript"/>
        </w:rPr>
        <w:t>conc</w:t>
      </w:r>
      <w:proofErr w:type="spellEnd"/>
      <w:r w:rsidRPr="00615B25">
        <w:t xml:space="preserve"> is the concentration measured in DBS, </w:t>
      </w:r>
      <w:proofErr w:type="spellStart"/>
      <w:r w:rsidRPr="00615B25">
        <w:t>hct</w:t>
      </w:r>
      <w:proofErr w:type="spellEnd"/>
      <w:r w:rsidRPr="00615B25">
        <w:t xml:space="preserve"> is average hematocrit value [36] and 0.999 [18, 37] is the plasma bound fraction of </w:t>
      </w:r>
      <w:proofErr w:type="spellStart"/>
      <w:r w:rsidRPr="00615B25">
        <w:t>tizoxanide</w:t>
      </w:r>
      <w:proofErr w:type="spellEnd"/>
      <w:r w:rsidRPr="00615B25">
        <w:t>.  Afterwards, DBS-derived plasma concentrations were compared with the paired plasma concentration using linear regression analysis.</w:t>
      </w:r>
    </w:p>
    <w:p w14:paraId="7BAEDEE0" w14:textId="77777777" w:rsidR="00343B94" w:rsidRPr="00615B25" w:rsidRDefault="00343B94" w:rsidP="00656DF4">
      <w:pPr>
        <w:pStyle w:val="MDPI21heading1"/>
      </w:pPr>
      <w:r w:rsidRPr="00615B25">
        <w:t xml:space="preserve">Results   </w:t>
      </w:r>
    </w:p>
    <w:p w14:paraId="7EA9303B" w14:textId="77777777" w:rsidR="00343B94" w:rsidRPr="00656DF4" w:rsidRDefault="00343B94" w:rsidP="00656DF4">
      <w:pPr>
        <w:pStyle w:val="MDPI22heading2"/>
      </w:pPr>
      <w:r w:rsidRPr="00656DF4">
        <w:t>Participant’s disposition and demographics</w:t>
      </w:r>
    </w:p>
    <w:p w14:paraId="3BAC4730" w14:textId="77777777" w:rsidR="00343B94" w:rsidRPr="00615B25" w:rsidRDefault="00343B94" w:rsidP="00656DF4">
      <w:pPr>
        <w:pStyle w:val="MDPI31text"/>
        <w:rPr>
          <w:b/>
        </w:rPr>
      </w:pPr>
      <w:r w:rsidRPr="00615B25">
        <w:t>A total of 25 participants consented to participate in the study but 4 withdrew from the study due to illnesses, non-related to the study, such as malaria while 3 were withdrawn due to non-compliance with the study protocol. Eventually, 18 participants (males, n = 10 and females, n = 8) completed the study. The mean (±SD) age and mean weight (±SD) were 27.4 (6.9) years and 60.4 (12.8) kg, respectively. In both periods of the study, no participant reported any serious symptom or adverse effect.</w:t>
      </w:r>
    </w:p>
    <w:p w14:paraId="5B33CABC" w14:textId="77777777" w:rsidR="00343B94" w:rsidRPr="00656DF4" w:rsidRDefault="00343B94" w:rsidP="00656DF4">
      <w:pPr>
        <w:pStyle w:val="MDPI22heading2"/>
        <w:spacing w:before="240"/>
      </w:pPr>
      <w:r w:rsidRPr="00656DF4">
        <w:t>Method Validation</w:t>
      </w:r>
    </w:p>
    <w:p w14:paraId="6CF58761" w14:textId="77777777" w:rsidR="00343B94" w:rsidRPr="00656DF4" w:rsidRDefault="00343B94" w:rsidP="00656DF4">
      <w:pPr>
        <w:pStyle w:val="MDPI23heading3"/>
      </w:pPr>
      <w:r w:rsidRPr="00656DF4">
        <w:t>Linearity, accuracy, and precision of plasma and DBS assay</w:t>
      </w:r>
    </w:p>
    <w:p w14:paraId="22578276" w14:textId="77777777" w:rsidR="00343B94" w:rsidRDefault="00343B94" w:rsidP="00656DF4">
      <w:pPr>
        <w:pStyle w:val="MDPI31text"/>
      </w:pPr>
      <w:r w:rsidRPr="00615B25">
        <w:t>Linearity of the assay method for both plasma and DBS was established in more than 8 assays over the range of 50 – 20000 ng/mL, with all the calibration standards having a percentage bias falling below ±15%. A typical regression coefficient (r</w:t>
      </w:r>
      <w:r w:rsidRPr="00615B25">
        <w:rPr>
          <w:vertAlign w:val="superscript"/>
        </w:rPr>
        <w:t>2</w:t>
      </w:r>
      <w:r w:rsidRPr="00615B25">
        <w:t>) was 0.9971. For plasma assay, accuracy and precision were 84.4 – 112.2% and 1.0 – 0.6%; while for DBS, they were 91.8 – 108.4% and 0.49 – 13.1% (Table 1 and 2). All values were within the acceptance criteria from FDA guideline.</w:t>
      </w:r>
    </w:p>
    <w:p w14:paraId="190B1AA5" w14:textId="51ABC636" w:rsidR="00915A3E" w:rsidRPr="00615B25" w:rsidRDefault="00915A3E" w:rsidP="00915A3E">
      <w:pPr>
        <w:pStyle w:val="MDPI41tablecaption"/>
      </w:pPr>
      <w:r w:rsidRPr="00915A3E">
        <w:rPr>
          <w:b/>
        </w:rPr>
        <w:lastRenderedPageBreak/>
        <w:t xml:space="preserve">Table 1. </w:t>
      </w:r>
      <w:r w:rsidRPr="00615B25">
        <w:t>Accuracy and precision of plasma analysis</w:t>
      </w:r>
      <w:r>
        <w:t>.</w:t>
      </w:r>
    </w:p>
    <w:tbl>
      <w:tblPr>
        <w:tblW w:w="10465" w:type="dxa"/>
        <w:jc w:val="center"/>
        <w:tblLayout w:type="fixed"/>
        <w:tblCellMar>
          <w:left w:w="0" w:type="dxa"/>
          <w:right w:w="0" w:type="dxa"/>
        </w:tblCellMar>
        <w:tblLook w:val="04A0" w:firstRow="1" w:lastRow="0" w:firstColumn="1" w:lastColumn="0" w:noHBand="0" w:noVBand="1"/>
      </w:tblPr>
      <w:tblGrid>
        <w:gridCol w:w="1898"/>
        <w:gridCol w:w="1343"/>
        <w:gridCol w:w="880"/>
        <w:gridCol w:w="1002"/>
        <w:gridCol w:w="563"/>
        <w:gridCol w:w="522"/>
        <w:gridCol w:w="1343"/>
        <w:gridCol w:w="897"/>
        <w:gridCol w:w="1120"/>
        <w:gridCol w:w="897"/>
      </w:tblGrid>
      <w:tr w:rsidR="00915A3E" w:rsidRPr="00915A3E" w14:paraId="74FE7109" w14:textId="77777777" w:rsidTr="00915A3E">
        <w:trPr>
          <w:jc w:val="center"/>
        </w:trPr>
        <w:tc>
          <w:tcPr>
            <w:tcW w:w="1898" w:type="dxa"/>
            <w:vMerge w:val="restart"/>
            <w:tcBorders>
              <w:top w:val="single" w:sz="8" w:space="0" w:color="auto"/>
            </w:tcBorders>
            <w:shd w:val="clear" w:color="auto" w:fill="auto"/>
            <w:noWrap/>
            <w:vAlign w:val="center"/>
            <w:hideMark/>
          </w:tcPr>
          <w:p w14:paraId="5A09E449"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b/>
                <w:noProof w:val="0"/>
                <w:szCs w:val="24"/>
                <w:lang w:eastAsia="en-AU"/>
              </w:rPr>
            </w:pPr>
            <w:r w:rsidRPr="00915A3E">
              <w:rPr>
                <w:rFonts w:eastAsia="Times New Roman"/>
                <w:b/>
                <w:bCs/>
                <w:noProof w:val="0"/>
                <w:szCs w:val="24"/>
                <w:lang w:eastAsia="en-AU"/>
              </w:rPr>
              <w:t>Nominal conc (ng/mL)</w:t>
            </w:r>
          </w:p>
        </w:tc>
        <w:tc>
          <w:tcPr>
            <w:tcW w:w="3788" w:type="dxa"/>
            <w:gridSpan w:val="4"/>
            <w:tcBorders>
              <w:top w:val="single" w:sz="8" w:space="0" w:color="auto"/>
              <w:bottom w:val="single" w:sz="4" w:space="0" w:color="auto"/>
            </w:tcBorders>
            <w:shd w:val="clear" w:color="auto" w:fill="auto"/>
            <w:noWrap/>
            <w:vAlign w:val="center"/>
            <w:hideMark/>
          </w:tcPr>
          <w:p w14:paraId="4887B523"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lang w:eastAsia="en-AU"/>
              </w:rPr>
            </w:pPr>
            <w:r w:rsidRPr="00915A3E">
              <w:rPr>
                <w:rFonts w:eastAsia="Times New Roman"/>
                <w:b/>
                <w:bCs/>
                <w:noProof w:val="0"/>
                <w:lang w:eastAsia="en-AU"/>
              </w:rPr>
              <w:t>Inter-assay</w:t>
            </w:r>
          </w:p>
        </w:tc>
        <w:tc>
          <w:tcPr>
            <w:tcW w:w="522" w:type="dxa"/>
            <w:tcBorders>
              <w:top w:val="single" w:sz="8" w:space="0" w:color="auto"/>
            </w:tcBorders>
            <w:shd w:val="clear" w:color="auto" w:fill="auto"/>
            <w:noWrap/>
            <w:vAlign w:val="center"/>
            <w:hideMark/>
          </w:tcPr>
          <w:p w14:paraId="193CD9C8"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lang w:eastAsia="en-AU"/>
              </w:rPr>
            </w:pPr>
          </w:p>
        </w:tc>
        <w:tc>
          <w:tcPr>
            <w:tcW w:w="4257" w:type="dxa"/>
            <w:gridSpan w:val="4"/>
            <w:tcBorders>
              <w:top w:val="single" w:sz="8" w:space="0" w:color="auto"/>
              <w:bottom w:val="single" w:sz="4" w:space="0" w:color="auto"/>
            </w:tcBorders>
            <w:shd w:val="clear" w:color="auto" w:fill="auto"/>
            <w:noWrap/>
            <w:vAlign w:val="center"/>
            <w:hideMark/>
          </w:tcPr>
          <w:p w14:paraId="4E7B8DDF"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lang w:eastAsia="en-AU"/>
              </w:rPr>
            </w:pPr>
            <w:r w:rsidRPr="00915A3E">
              <w:rPr>
                <w:rFonts w:eastAsia="Times New Roman"/>
                <w:b/>
                <w:bCs/>
                <w:noProof w:val="0"/>
                <w:lang w:eastAsia="en-AU"/>
              </w:rPr>
              <w:t>Intra-assay</w:t>
            </w:r>
          </w:p>
        </w:tc>
      </w:tr>
      <w:tr w:rsidR="00915A3E" w:rsidRPr="00915A3E" w14:paraId="4B72B6F9" w14:textId="77777777" w:rsidTr="00915A3E">
        <w:trPr>
          <w:jc w:val="center"/>
        </w:trPr>
        <w:tc>
          <w:tcPr>
            <w:tcW w:w="1898" w:type="dxa"/>
            <w:vMerge/>
            <w:tcBorders>
              <w:bottom w:val="single" w:sz="4" w:space="0" w:color="auto"/>
            </w:tcBorders>
            <w:shd w:val="clear" w:color="auto" w:fill="auto"/>
            <w:noWrap/>
            <w:vAlign w:val="center"/>
            <w:hideMark/>
          </w:tcPr>
          <w:p w14:paraId="60435BFB"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szCs w:val="24"/>
                <w:lang w:eastAsia="en-AU"/>
              </w:rPr>
            </w:pPr>
          </w:p>
        </w:tc>
        <w:tc>
          <w:tcPr>
            <w:tcW w:w="1343" w:type="dxa"/>
            <w:tcBorders>
              <w:top w:val="single" w:sz="4" w:space="0" w:color="auto"/>
              <w:bottom w:val="single" w:sz="4" w:space="0" w:color="auto"/>
            </w:tcBorders>
            <w:shd w:val="clear" w:color="auto" w:fill="auto"/>
            <w:noWrap/>
            <w:vAlign w:val="center"/>
            <w:hideMark/>
          </w:tcPr>
          <w:p w14:paraId="132C93D0"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szCs w:val="24"/>
                <w:lang w:eastAsia="en-AU"/>
              </w:rPr>
            </w:pPr>
            <w:r w:rsidRPr="00915A3E">
              <w:rPr>
                <w:rFonts w:eastAsia="Times New Roman"/>
                <w:b/>
                <w:noProof w:val="0"/>
                <w:szCs w:val="24"/>
                <w:lang w:eastAsia="en-AU"/>
              </w:rPr>
              <w:t>Mean (ng/mL)</w:t>
            </w:r>
          </w:p>
        </w:tc>
        <w:tc>
          <w:tcPr>
            <w:tcW w:w="880" w:type="dxa"/>
            <w:tcBorders>
              <w:top w:val="single" w:sz="4" w:space="0" w:color="auto"/>
              <w:bottom w:val="single" w:sz="4" w:space="0" w:color="auto"/>
            </w:tcBorders>
            <w:shd w:val="clear" w:color="auto" w:fill="auto"/>
            <w:noWrap/>
            <w:vAlign w:val="center"/>
            <w:hideMark/>
          </w:tcPr>
          <w:p w14:paraId="302F4E0F"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szCs w:val="24"/>
                <w:lang w:eastAsia="en-AU"/>
              </w:rPr>
            </w:pPr>
            <w:r w:rsidRPr="00915A3E">
              <w:rPr>
                <w:rFonts w:eastAsia="Times New Roman"/>
                <w:b/>
                <w:noProof w:val="0"/>
                <w:szCs w:val="24"/>
                <w:lang w:eastAsia="en-AU"/>
              </w:rPr>
              <w:t>SD</w:t>
            </w:r>
          </w:p>
        </w:tc>
        <w:tc>
          <w:tcPr>
            <w:tcW w:w="1002" w:type="dxa"/>
            <w:tcBorders>
              <w:top w:val="single" w:sz="4" w:space="0" w:color="auto"/>
              <w:bottom w:val="single" w:sz="4" w:space="0" w:color="auto"/>
            </w:tcBorders>
            <w:shd w:val="clear" w:color="auto" w:fill="auto"/>
            <w:noWrap/>
            <w:vAlign w:val="center"/>
            <w:hideMark/>
          </w:tcPr>
          <w:p w14:paraId="21D25178"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szCs w:val="24"/>
                <w:lang w:eastAsia="en-AU"/>
              </w:rPr>
            </w:pPr>
            <w:r w:rsidRPr="00915A3E">
              <w:rPr>
                <w:rFonts w:eastAsia="Times New Roman"/>
                <w:b/>
                <w:noProof w:val="0"/>
                <w:szCs w:val="24"/>
                <w:lang w:eastAsia="en-AU"/>
              </w:rPr>
              <w:t>%Accuracy</w:t>
            </w:r>
          </w:p>
        </w:tc>
        <w:tc>
          <w:tcPr>
            <w:tcW w:w="563" w:type="dxa"/>
            <w:tcBorders>
              <w:top w:val="single" w:sz="4" w:space="0" w:color="auto"/>
              <w:bottom w:val="single" w:sz="4" w:space="0" w:color="auto"/>
            </w:tcBorders>
            <w:shd w:val="clear" w:color="auto" w:fill="auto"/>
            <w:noWrap/>
            <w:vAlign w:val="center"/>
            <w:hideMark/>
          </w:tcPr>
          <w:p w14:paraId="1C8C2F07"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%CV</w:t>
            </w:r>
          </w:p>
        </w:tc>
        <w:tc>
          <w:tcPr>
            <w:tcW w:w="522" w:type="dxa"/>
            <w:tcBorders>
              <w:bottom w:val="single" w:sz="4" w:space="0" w:color="auto"/>
            </w:tcBorders>
            <w:shd w:val="clear" w:color="auto" w:fill="auto"/>
            <w:noWrap/>
            <w:vAlign w:val="center"/>
          </w:tcPr>
          <w:p w14:paraId="48F4EF7E"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szCs w:val="24"/>
                <w:lang w:eastAsia="en-AU"/>
              </w:rPr>
            </w:pPr>
          </w:p>
        </w:tc>
        <w:tc>
          <w:tcPr>
            <w:tcW w:w="1343" w:type="dxa"/>
            <w:tcBorders>
              <w:top w:val="single" w:sz="4" w:space="0" w:color="auto"/>
              <w:bottom w:val="single" w:sz="4" w:space="0" w:color="auto"/>
            </w:tcBorders>
            <w:shd w:val="clear" w:color="auto" w:fill="auto"/>
            <w:noWrap/>
            <w:vAlign w:val="center"/>
          </w:tcPr>
          <w:p w14:paraId="77948757"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szCs w:val="24"/>
                <w:lang w:eastAsia="en-AU"/>
              </w:rPr>
            </w:pPr>
            <w:r w:rsidRPr="00915A3E">
              <w:rPr>
                <w:rFonts w:eastAsia="Times New Roman"/>
                <w:b/>
                <w:noProof w:val="0"/>
                <w:szCs w:val="24"/>
                <w:lang w:eastAsia="en-AU"/>
              </w:rPr>
              <w:t>Mean (ng/mL)</w:t>
            </w:r>
          </w:p>
        </w:tc>
        <w:tc>
          <w:tcPr>
            <w:tcW w:w="897" w:type="dxa"/>
            <w:tcBorders>
              <w:top w:val="single" w:sz="4" w:space="0" w:color="auto"/>
              <w:bottom w:val="single" w:sz="4" w:space="0" w:color="auto"/>
            </w:tcBorders>
            <w:shd w:val="clear" w:color="auto" w:fill="auto"/>
            <w:noWrap/>
            <w:vAlign w:val="center"/>
          </w:tcPr>
          <w:p w14:paraId="18191B41"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szCs w:val="24"/>
                <w:lang w:eastAsia="en-AU"/>
              </w:rPr>
            </w:pPr>
            <w:r w:rsidRPr="00915A3E">
              <w:rPr>
                <w:rFonts w:eastAsia="Times New Roman"/>
                <w:b/>
                <w:noProof w:val="0"/>
                <w:szCs w:val="24"/>
                <w:lang w:eastAsia="en-AU"/>
              </w:rPr>
              <w:t>SD</w:t>
            </w:r>
          </w:p>
        </w:tc>
        <w:tc>
          <w:tcPr>
            <w:tcW w:w="1120" w:type="dxa"/>
            <w:tcBorders>
              <w:top w:val="single" w:sz="4" w:space="0" w:color="auto"/>
              <w:bottom w:val="single" w:sz="4" w:space="0" w:color="auto"/>
            </w:tcBorders>
            <w:shd w:val="clear" w:color="auto" w:fill="auto"/>
            <w:noWrap/>
            <w:vAlign w:val="center"/>
            <w:hideMark/>
          </w:tcPr>
          <w:p w14:paraId="16374FD4"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szCs w:val="24"/>
                <w:lang w:eastAsia="en-AU"/>
              </w:rPr>
            </w:pPr>
            <w:r w:rsidRPr="00915A3E">
              <w:rPr>
                <w:rFonts w:eastAsia="Times New Roman"/>
                <w:b/>
                <w:noProof w:val="0"/>
                <w:szCs w:val="24"/>
                <w:lang w:eastAsia="en-AU"/>
              </w:rPr>
              <w:t>%Accuracy</w:t>
            </w:r>
          </w:p>
        </w:tc>
        <w:tc>
          <w:tcPr>
            <w:tcW w:w="897" w:type="dxa"/>
            <w:tcBorders>
              <w:top w:val="single" w:sz="4" w:space="0" w:color="auto"/>
              <w:bottom w:val="single" w:sz="4" w:space="0" w:color="auto"/>
            </w:tcBorders>
            <w:shd w:val="clear" w:color="auto" w:fill="auto"/>
            <w:noWrap/>
            <w:vAlign w:val="center"/>
            <w:hideMark/>
          </w:tcPr>
          <w:p w14:paraId="62FE28DE"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%CV</w:t>
            </w:r>
          </w:p>
        </w:tc>
      </w:tr>
      <w:tr w:rsidR="00915A3E" w:rsidRPr="00915A3E" w14:paraId="1E533C38" w14:textId="77777777" w:rsidTr="00915A3E">
        <w:trPr>
          <w:jc w:val="center"/>
        </w:trPr>
        <w:tc>
          <w:tcPr>
            <w:tcW w:w="1898" w:type="dxa"/>
            <w:tcBorders>
              <w:top w:val="single" w:sz="4" w:space="0" w:color="auto"/>
            </w:tcBorders>
            <w:shd w:val="clear" w:color="auto" w:fill="auto"/>
            <w:noWrap/>
            <w:vAlign w:val="center"/>
            <w:hideMark/>
          </w:tcPr>
          <w:p w14:paraId="0AE23EA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50</w:t>
            </w:r>
          </w:p>
        </w:tc>
        <w:tc>
          <w:tcPr>
            <w:tcW w:w="1343" w:type="dxa"/>
            <w:tcBorders>
              <w:top w:val="single" w:sz="4" w:space="0" w:color="auto"/>
            </w:tcBorders>
            <w:shd w:val="clear" w:color="auto" w:fill="auto"/>
            <w:noWrap/>
            <w:vAlign w:val="center"/>
            <w:hideMark/>
          </w:tcPr>
          <w:p w14:paraId="24898DF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46.9</w:t>
            </w:r>
          </w:p>
        </w:tc>
        <w:tc>
          <w:tcPr>
            <w:tcW w:w="880" w:type="dxa"/>
            <w:tcBorders>
              <w:top w:val="single" w:sz="4" w:space="0" w:color="auto"/>
            </w:tcBorders>
            <w:shd w:val="clear" w:color="auto" w:fill="auto"/>
            <w:noWrap/>
            <w:vAlign w:val="center"/>
            <w:hideMark/>
          </w:tcPr>
          <w:p w14:paraId="4C1810A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3.9</w:t>
            </w:r>
          </w:p>
        </w:tc>
        <w:tc>
          <w:tcPr>
            <w:tcW w:w="1002" w:type="dxa"/>
            <w:tcBorders>
              <w:top w:val="single" w:sz="4" w:space="0" w:color="auto"/>
            </w:tcBorders>
            <w:shd w:val="clear" w:color="auto" w:fill="auto"/>
            <w:noWrap/>
            <w:vAlign w:val="center"/>
            <w:hideMark/>
          </w:tcPr>
          <w:p w14:paraId="52439AE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84.4</w:t>
            </w:r>
          </w:p>
        </w:tc>
        <w:tc>
          <w:tcPr>
            <w:tcW w:w="563" w:type="dxa"/>
            <w:tcBorders>
              <w:top w:val="single" w:sz="4" w:space="0" w:color="auto"/>
            </w:tcBorders>
            <w:shd w:val="clear" w:color="auto" w:fill="auto"/>
            <w:noWrap/>
            <w:vAlign w:val="center"/>
            <w:hideMark/>
          </w:tcPr>
          <w:p w14:paraId="069B622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8.3</w:t>
            </w:r>
          </w:p>
        </w:tc>
        <w:tc>
          <w:tcPr>
            <w:tcW w:w="522" w:type="dxa"/>
            <w:tcBorders>
              <w:top w:val="single" w:sz="4" w:space="0" w:color="auto"/>
            </w:tcBorders>
            <w:shd w:val="clear" w:color="auto" w:fill="auto"/>
            <w:noWrap/>
            <w:vAlign w:val="center"/>
            <w:hideMark/>
          </w:tcPr>
          <w:p w14:paraId="1210FC7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tcBorders>
              <w:top w:val="single" w:sz="4" w:space="0" w:color="auto"/>
            </w:tcBorders>
            <w:shd w:val="clear" w:color="auto" w:fill="auto"/>
            <w:noWrap/>
            <w:vAlign w:val="center"/>
            <w:hideMark/>
          </w:tcPr>
          <w:p w14:paraId="30B103B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45.1</w:t>
            </w:r>
          </w:p>
        </w:tc>
        <w:tc>
          <w:tcPr>
            <w:tcW w:w="897" w:type="dxa"/>
            <w:tcBorders>
              <w:top w:val="single" w:sz="4" w:space="0" w:color="auto"/>
            </w:tcBorders>
            <w:shd w:val="clear" w:color="auto" w:fill="auto"/>
            <w:noWrap/>
            <w:vAlign w:val="center"/>
            <w:hideMark/>
          </w:tcPr>
          <w:p w14:paraId="11E96C9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0.5</w:t>
            </w:r>
          </w:p>
        </w:tc>
        <w:tc>
          <w:tcPr>
            <w:tcW w:w="1120" w:type="dxa"/>
            <w:tcBorders>
              <w:top w:val="single" w:sz="4" w:space="0" w:color="auto"/>
            </w:tcBorders>
            <w:shd w:val="clear" w:color="auto" w:fill="auto"/>
            <w:noWrap/>
            <w:vAlign w:val="center"/>
            <w:hideMark/>
          </w:tcPr>
          <w:p w14:paraId="42F6904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90.3</w:t>
            </w:r>
          </w:p>
        </w:tc>
        <w:tc>
          <w:tcPr>
            <w:tcW w:w="897" w:type="dxa"/>
            <w:tcBorders>
              <w:top w:val="single" w:sz="4" w:space="0" w:color="auto"/>
            </w:tcBorders>
            <w:shd w:val="clear" w:color="auto" w:fill="auto"/>
            <w:noWrap/>
            <w:vAlign w:val="center"/>
            <w:hideMark/>
          </w:tcPr>
          <w:p w14:paraId="080AB87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w:t>
            </w:r>
          </w:p>
        </w:tc>
      </w:tr>
      <w:tr w:rsidR="00915A3E" w:rsidRPr="00915A3E" w14:paraId="422975A5" w14:textId="77777777" w:rsidTr="00915A3E">
        <w:trPr>
          <w:jc w:val="center"/>
        </w:trPr>
        <w:tc>
          <w:tcPr>
            <w:tcW w:w="1898" w:type="dxa"/>
            <w:shd w:val="clear" w:color="auto" w:fill="auto"/>
            <w:noWrap/>
            <w:vAlign w:val="center"/>
            <w:hideMark/>
          </w:tcPr>
          <w:p w14:paraId="7A39F06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150</w:t>
            </w:r>
          </w:p>
        </w:tc>
        <w:tc>
          <w:tcPr>
            <w:tcW w:w="1343" w:type="dxa"/>
            <w:shd w:val="clear" w:color="auto" w:fill="auto"/>
            <w:noWrap/>
            <w:vAlign w:val="center"/>
            <w:hideMark/>
          </w:tcPr>
          <w:p w14:paraId="1BC8AB3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154.0</w:t>
            </w:r>
          </w:p>
        </w:tc>
        <w:tc>
          <w:tcPr>
            <w:tcW w:w="880" w:type="dxa"/>
            <w:shd w:val="clear" w:color="auto" w:fill="auto"/>
            <w:noWrap/>
            <w:vAlign w:val="center"/>
            <w:hideMark/>
          </w:tcPr>
          <w:p w14:paraId="7C5DF48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9.8</w:t>
            </w:r>
          </w:p>
        </w:tc>
        <w:tc>
          <w:tcPr>
            <w:tcW w:w="1002" w:type="dxa"/>
            <w:shd w:val="clear" w:color="auto" w:fill="auto"/>
            <w:noWrap/>
            <w:vAlign w:val="center"/>
            <w:hideMark/>
          </w:tcPr>
          <w:p w14:paraId="3B7B208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102.6</w:t>
            </w:r>
          </w:p>
        </w:tc>
        <w:tc>
          <w:tcPr>
            <w:tcW w:w="563" w:type="dxa"/>
            <w:shd w:val="clear" w:color="auto" w:fill="auto"/>
            <w:noWrap/>
            <w:vAlign w:val="center"/>
            <w:hideMark/>
          </w:tcPr>
          <w:p w14:paraId="7D9AF51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6.4</w:t>
            </w:r>
          </w:p>
        </w:tc>
        <w:tc>
          <w:tcPr>
            <w:tcW w:w="522" w:type="dxa"/>
            <w:shd w:val="clear" w:color="auto" w:fill="auto"/>
            <w:noWrap/>
            <w:vAlign w:val="center"/>
            <w:hideMark/>
          </w:tcPr>
          <w:p w14:paraId="3CB85ED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081B846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162.1</w:t>
            </w:r>
          </w:p>
        </w:tc>
        <w:tc>
          <w:tcPr>
            <w:tcW w:w="897" w:type="dxa"/>
            <w:shd w:val="clear" w:color="auto" w:fill="auto"/>
            <w:noWrap/>
            <w:vAlign w:val="center"/>
            <w:hideMark/>
          </w:tcPr>
          <w:p w14:paraId="22B20CA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3.5</w:t>
            </w:r>
          </w:p>
        </w:tc>
        <w:tc>
          <w:tcPr>
            <w:tcW w:w="1120" w:type="dxa"/>
            <w:shd w:val="clear" w:color="auto" w:fill="auto"/>
            <w:noWrap/>
            <w:vAlign w:val="center"/>
            <w:hideMark/>
          </w:tcPr>
          <w:p w14:paraId="239D0C5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108.0</w:t>
            </w:r>
          </w:p>
        </w:tc>
        <w:tc>
          <w:tcPr>
            <w:tcW w:w="897" w:type="dxa"/>
            <w:shd w:val="clear" w:color="auto" w:fill="auto"/>
            <w:noWrap/>
            <w:vAlign w:val="center"/>
            <w:hideMark/>
          </w:tcPr>
          <w:p w14:paraId="5AEFF22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2.2</w:t>
            </w:r>
          </w:p>
        </w:tc>
      </w:tr>
      <w:tr w:rsidR="00915A3E" w:rsidRPr="00915A3E" w14:paraId="2080EAC6" w14:textId="77777777" w:rsidTr="00915A3E">
        <w:trPr>
          <w:jc w:val="center"/>
        </w:trPr>
        <w:tc>
          <w:tcPr>
            <w:tcW w:w="1898" w:type="dxa"/>
            <w:shd w:val="clear" w:color="auto" w:fill="auto"/>
            <w:noWrap/>
            <w:vAlign w:val="center"/>
            <w:hideMark/>
          </w:tcPr>
          <w:p w14:paraId="4B930C9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400</w:t>
            </w:r>
          </w:p>
        </w:tc>
        <w:tc>
          <w:tcPr>
            <w:tcW w:w="1343" w:type="dxa"/>
            <w:shd w:val="clear" w:color="auto" w:fill="auto"/>
            <w:noWrap/>
            <w:vAlign w:val="center"/>
            <w:hideMark/>
          </w:tcPr>
          <w:p w14:paraId="6357BC6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410.7</w:t>
            </w:r>
          </w:p>
        </w:tc>
        <w:tc>
          <w:tcPr>
            <w:tcW w:w="880" w:type="dxa"/>
            <w:shd w:val="clear" w:color="auto" w:fill="auto"/>
            <w:noWrap/>
            <w:vAlign w:val="center"/>
            <w:hideMark/>
          </w:tcPr>
          <w:p w14:paraId="37E46FD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33.8</w:t>
            </w:r>
          </w:p>
        </w:tc>
        <w:tc>
          <w:tcPr>
            <w:tcW w:w="1002" w:type="dxa"/>
            <w:shd w:val="clear" w:color="auto" w:fill="auto"/>
            <w:noWrap/>
            <w:vAlign w:val="center"/>
            <w:hideMark/>
          </w:tcPr>
          <w:p w14:paraId="51A2BD6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92.4</w:t>
            </w:r>
          </w:p>
        </w:tc>
        <w:tc>
          <w:tcPr>
            <w:tcW w:w="563" w:type="dxa"/>
            <w:shd w:val="clear" w:color="auto" w:fill="auto"/>
            <w:noWrap/>
            <w:vAlign w:val="center"/>
            <w:hideMark/>
          </w:tcPr>
          <w:p w14:paraId="6B490AC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8.2</w:t>
            </w:r>
          </w:p>
        </w:tc>
        <w:tc>
          <w:tcPr>
            <w:tcW w:w="522" w:type="dxa"/>
            <w:shd w:val="clear" w:color="auto" w:fill="auto"/>
            <w:noWrap/>
            <w:vAlign w:val="center"/>
            <w:hideMark/>
          </w:tcPr>
          <w:p w14:paraId="6C2E955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5224BF0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448.8</w:t>
            </w:r>
          </w:p>
        </w:tc>
        <w:tc>
          <w:tcPr>
            <w:tcW w:w="897" w:type="dxa"/>
            <w:shd w:val="clear" w:color="auto" w:fill="auto"/>
            <w:noWrap/>
            <w:vAlign w:val="center"/>
            <w:hideMark/>
          </w:tcPr>
          <w:p w14:paraId="66C0D92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16.0</w:t>
            </w:r>
          </w:p>
        </w:tc>
        <w:tc>
          <w:tcPr>
            <w:tcW w:w="1120" w:type="dxa"/>
            <w:shd w:val="clear" w:color="auto" w:fill="auto"/>
            <w:noWrap/>
            <w:vAlign w:val="center"/>
            <w:hideMark/>
          </w:tcPr>
          <w:p w14:paraId="0F57080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112.2</w:t>
            </w:r>
          </w:p>
        </w:tc>
        <w:tc>
          <w:tcPr>
            <w:tcW w:w="897" w:type="dxa"/>
            <w:shd w:val="clear" w:color="auto" w:fill="auto"/>
            <w:noWrap/>
            <w:vAlign w:val="center"/>
            <w:hideMark/>
          </w:tcPr>
          <w:p w14:paraId="18DAE49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3.6</w:t>
            </w:r>
          </w:p>
        </w:tc>
      </w:tr>
      <w:tr w:rsidR="00915A3E" w:rsidRPr="00915A3E" w14:paraId="758BB0F2" w14:textId="77777777" w:rsidTr="00915A3E">
        <w:trPr>
          <w:jc w:val="center"/>
        </w:trPr>
        <w:tc>
          <w:tcPr>
            <w:tcW w:w="1898" w:type="dxa"/>
            <w:shd w:val="clear" w:color="auto" w:fill="auto"/>
            <w:noWrap/>
            <w:vAlign w:val="center"/>
            <w:hideMark/>
          </w:tcPr>
          <w:p w14:paraId="0CBB66F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1000</w:t>
            </w:r>
          </w:p>
        </w:tc>
        <w:tc>
          <w:tcPr>
            <w:tcW w:w="1343" w:type="dxa"/>
            <w:shd w:val="clear" w:color="auto" w:fill="auto"/>
            <w:noWrap/>
            <w:vAlign w:val="center"/>
            <w:hideMark/>
          </w:tcPr>
          <w:p w14:paraId="0C695AE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1060.0</w:t>
            </w:r>
          </w:p>
        </w:tc>
        <w:tc>
          <w:tcPr>
            <w:tcW w:w="880" w:type="dxa"/>
            <w:shd w:val="clear" w:color="auto" w:fill="auto"/>
            <w:noWrap/>
            <w:vAlign w:val="center"/>
            <w:hideMark/>
          </w:tcPr>
          <w:p w14:paraId="40D06B7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85.0</w:t>
            </w:r>
          </w:p>
        </w:tc>
        <w:tc>
          <w:tcPr>
            <w:tcW w:w="1002" w:type="dxa"/>
            <w:shd w:val="clear" w:color="auto" w:fill="auto"/>
            <w:noWrap/>
            <w:vAlign w:val="center"/>
            <w:hideMark/>
          </w:tcPr>
          <w:p w14:paraId="16B691A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94.2</w:t>
            </w:r>
          </w:p>
        </w:tc>
        <w:tc>
          <w:tcPr>
            <w:tcW w:w="563" w:type="dxa"/>
            <w:shd w:val="clear" w:color="auto" w:fill="auto"/>
            <w:noWrap/>
            <w:vAlign w:val="center"/>
            <w:hideMark/>
          </w:tcPr>
          <w:p w14:paraId="74FDEDE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8.0</w:t>
            </w:r>
          </w:p>
        </w:tc>
        <w:tc>
          <w:tcPr>
            <w:tcW w:w="522" w:type="dxa"/>
            <w:shd w:val="clear" w:color="auto" w:fill="auto"/>
            <w:noWrap/>
            <w:vAlign w:val="center"/>
            <w:hideMark/>
          </w:tcPr>
          <w:p w14:paraId="4C9CD95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384B96D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974.6</w:t>
            </w:r>
          </w:p>
        </w:tc>
        <w:tc>
          <w:tcPr>
            <w:tcW w:w="897" w:type="dxa"/>
            <w:shd w:val="clear" w:color="auto" w:fill="auto"/>
            <w:noWrap/>
            <w:vAlign w:val="center"/>
            <w:hideMark/>
          </w:tcPr>
          <w:p w14:paraId="46E63F3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40.9</w:t>
            </w:r>
          </w:p>
        </w:tc>
        <w:tc>
          <w:tcPr>
            <w:tcW w:w="1120" w:type="dxa"/>
            <w:shd w:val="clear" w:color="auto" w:fill="auto"/>
            <w:noWrap/>
            <w:vAlign w:val="center"/>
            <w:hideMark/>
          </w:tcPr>
          <w:p w14:paraId="0A1533E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97.5</w:t>
            </w:r>
          </w:p>
        </w:tc>
        <w:tc>
          <w:tcPr>
            <w:tcW w:w="897" w:type="dxa"/>
            <w:shd w:val="clear" w:color="auto" w:fill="auto"/>
            <w:noWrap/>
            <w:vAlign w:val="center"/>
            <w:hideMark/>
          </w:tcPr>
          <w:p w14:paraId="6A73BFA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4.2</w:t>
            </w:r>
          </w:p>
        </w:tc>
      </w:tr>
      <w:tr w:rsidR="00915A3E" w:rsidRPr="00915A3E" w14:paraId="1F5D3AE3" w14:textId="77777777" w:rsidTr="00915A3E">
        <w:trPr>
          <w:jc w:val="center"/>
        </w:trPr>
        <w:tc>
          <w:tcPr>
            <w:tcW w:w="1898" w:type="dxa"/>
            <w:shd w:val="clear" w:color="auto" w:fill="auto"/>
            <w:noWrap/>
            <w:vAlign w:val="center"/>
            <w:hideMark/>
          </w:tcPr>
          <w:p w14:paraId="0B1020D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2500</w:t>
            </w:r>
          </w:p>
        </w:tc>
        <w:tc>
          <w:tcPr>
            <w:tcW w:w="1343" w:type="dxa"/>
            <w:shd w:val="clear" w:color="auto" w:fill="auto"/>
            <w:noWrap/>
            <w:vAlign w:val="center"/>
            <w:hideMark/>
          </w:tcPr>
          <w:p w14:paraId="04C975F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2671.6</w:t>
            </w:r>
          </w:p>
        </w:tc>
        <w:tc>
          <w:tcPr>
            <w:tcW w:w="880" w:type="dxa"/>
            <w:shd w:val="clear" w:color="auto" w:fill="auto"/>
            <w:noWrap/>
            <w:vAlign w:val="center"/>
            <w:hideMark/>
          </w:tcPr>
          <w:p w14:paraId="3FBF104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196.2</w:t>
            </w:r>
          </w:p>
        </w:tc>
        <w:tc>
          <w:tcPr>
            <w:tcW w:w="1002" w:type="dxa"/>
            <w:shd w:val="clear" w:color="auto" w:fill="auto"/>
            <w:noWrap/>
            <w:vAlign w:val="center"/>
            <w:hideMark/>
          </w:tcPr>
          <w:p w14:paraId="1FDFFFD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106.9</w:t>
            </w:r>
          </w:p>
        </w:tc>
        <w:tc>
          <w:tcPr>
            <w:tcW w:w="563" w:type="dxa"/>
            <w:shd w:val="clear" w:color="auto" w:fill="auto"/>
            <w:noWrap/>
            <w:vAlign w:val="center"/>
            <w:hideMark/>
          </w:tcPr>
          <w:p w14:paraId="6F6757C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7.3</w:t>
            </w:r>
          </w:p>
        </w:tc>
        <w:tc>
          <w:tcPr>
            <w:tcW w:w="522" w:type="dxa"/>
            <w:shd w:val="clear" w:color="auto" w:fill="auto"/>
            <w:noWrap/>
            <w:vAlign w:val="center"/>
            <w:hideMark/>
          </w:tcPr>
          <w:p w14:paraId="6A9EC08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674E1D5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2640.2</w:t>
            </w:r>
          </w:p>
        </w:tc>
        <w:tc>
          <w:tcPr>
            <w:tcW w:w="897" w:type="dxa"/>
            <w:shd w:val="clear" w:color="auto" w:fill="auto"/>
            <w:noWrap/>
            <w:vAlign w:val="center"/>
            <w:hideMark/>
          </w:tcPr>
          <w:p w14:paraId="3AC97CC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165.3</w:t>
            </w:r>
          </w:p>
        </w:tc>
        <w:tc>
          <w:tcPr>
            <w:tcW w:w="1120" w:type="dxa"/>
            <w:shd w:val="clear" w:color="auto" w:fill="auto"/>
            <w:noWrap/>
            <w:vAlign w:val="center"/>
            <w:hideMark/>
          </w:tcPr>
          <w:p w14:paraId="5EC5ECF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105.6</w:t>
            </w:r>
          </w:p>
        </w:tc>
        <w:tc>
          <w:tcPr>
            <w:tcW w:w="897" w:type="dxa"/>
            <w:shd w:val="clear" w:color="auto" w:fill="auto"/>
            <w:noWrap/>
            <w:vAlign w:val="center"/>
            <w:hideMark/>
          </w:tcPr>
          <w:p w14:paraId="6A216CF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6.3</w:t>
            </w:r>
          </w:p>
        </w:tc>
      </w:tr>
      <w:tr w:rsidR="00915A3E" w:rsidRPr="00915A3E" w14:paraId="038F581B" w14:textId="77777777" w:rsidTr="00915A3E">
        <w:trPr>
          <w:jc w:val="center"/>
        </w:trPr>
        <w:tc>
          <w:tcPr>
            <w:tcW w:w="1898" w:type="dxa"/>
            <w:shd w:val="clear" w:color="auto" w:fill="auto"/>
            <w:noWrap/>
            <w:vAlign w:val="center"/>
            <w:hideMark/>
          </w:tcPr>
          <w:p w14:paraId="56A8C81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5000</w:t>
            </w:r>
          </w:p>
        </w:tc>
        <w:tc>
          <w:tcPr>
            <w:tcW w:w="1343" w:type="dxa"/>
            <w:shd w:val="clear" w:color="auto" w:fill="auto"/>
            <w:noWrap/>
            <w:vAlign w:val="center"/>
            <w:hideMark/>
          </w:tcPr>
          <w:p w14:paraId="2410177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5076.0</w:t>
            </w:r>
          </w:p>
        </w:tc>
        <w:tc>
          <w:tcPr>
            <w:tcW w:w="880" w:type="dxa"/>
            <w:shd w:val="clear" w:color="auto" w:fill="auto"/>
            <w:noWrap/>
            <w:vAlign w:val="center"/>
            <w:hideMark/>
          </w:tcPr>
          <w:p w14:paraId="1860B0D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359.9</w:t>
            </w:r>
          </w:p>
        </w:tc>
        <w:tc>
          <w:tcPr>
            <w:tcW w:w="1002" w:type="dxa"/>
            <w:shd w:val="clear" w:color="auto" w:fill="auto"/>
            <w:noWrap/>
            <w:vAlign w:val="center"/>
            <w:hideMark/>
          </w:tcPr>
          <w:p w14:paraId="506CA03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101.5</w:t>
            </w:r>
          </w:p>
        </w:tc>
        <w:tc>
          <w:tcPr>
            <w:tcW w:w="563" w:type="dxa"/>
            <w:shd w:val="clear" w:color="auto" w:fill="auto"/>
            <w:noWrap/>
            <w:vAlign w:val="center"/>
            <w:hideMark/>
          </w:tcPr>
          <w:p w14:paraId="724C1B3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7.1</w:t>
            </w:r>
          </w:p>
        </w:tc>
        <w:tc>
          <w:tcPr>
            <w:tcW w:w="522" w:type="dxa"/>
            <w:shd w:val="clear" w:color="auto" w:fill="auto"/>
            <w:noWrap/>
            <w:vAlign w:val="center"/>
            <w:hideMark/>
          </w:tcPr>
          <w:p w14:paraId="6CBD5C7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3790CCF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5205.5</w:t>
            </w:r>
          </w:p>
        </w:tc>
        <w:tc>
          <w:tcPr>
            <w:tcW w:w="897" w:type="dxa"/>
            <w:shd w:val="clear" w:color="auto" w:fill="auto"/>
            <w:noWrap/>
            <w:vAlign w:val="center"/>
            <w:hideMark/>
          </w:tcPr>
          <w:p w14:paraId="49151A0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192.8</w:t>
            </w:r>
          </w:p>
        </w:tc>
        <w:tc>
          <w:tcPr>
            <w:tcW w:w="1120" w:type="dxa"/>
            <w:shd w:val="clear" w:color="auto" w:fill="auto"/>
            <w:noWrap/>
            <w:vAlign w:val="center"/>
            <w:hideMark/>
          </w:tcPr>
          <w:p w14:paraId="4994F5C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104.1</w:t>
            </w:r>
          </w:p>
        </w:tc>
        <w:tc>
          <w:tcPr>
            <w:tcW w:w="897" w:type="dxa"/>
            <w:shd w:val="clear" w:color="auto" w:fill="auto"/>
            <w:noWrap/>
            <w:vAlign w:val="center"/>
            <w:hideMark/>
          </w:tcPr>
          <w:p w14:paraId="72A6C98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3.7</w:t>
            </w:r>
          </w:p>
        </w:tc>
      </w:tr>
      <w:tr w:rsidR="00915A3E" w:rsidRPr="00915A3E" w14:paraId="29EF03AC" w14:textId="77777777" w:rsidTr="00915A3E">
        <w:trPr>
          <w:jc w:val="center"/>
        </w:trPr>
        <w:tc>
          <w:tcPr>
            <w:tcW w:w="1898" w:type="dxa"/>
            <w:shd w:val="clear" w:color="auto" w:fill="auto"/>
            <w:noWrap/>
            <w:vAlign w:val="center"/>
            <w:hideMark/>
          </w:tcPr>
          <w:p w14:paraId="2D33BFA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10000</w:t>
            </w:r>
          </w:p>
        </w:tc>
        <w:tc>
          <w:tcPr>
            <w:tcW w:w="1343" w:type="dxa"/>
            <w:shd w:val="clear" w:color="auto" w:fill="auto"/>
            <w:noWrap/>
            <w:vAlign w:val="center"/>
            <w:hideMark/>
          </w:tcPr>
          <w:p w14:paraId="354D2EB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9850.4</w:t>
            </w:r>
          </w:p>
        </w:tc>
        <w:tc>
          <w:tcPr>
            <w:tcW w:w="880" w:type="dxa"/>
            <w:shd w:val="clear" w:color="auto" w:fill="auto"/>
            <w:noWrap/>
            <w:vAlign w:val="center"/>
            <w:hideMark/>
          </w:tcPr>
          <w:p w14:paraId="6D05ADF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436.9</w:t>
            </w:r>
          </w:p>
        </w:tc>
        <w:tc>
          <w:tcPr>
            <w:tcW w:w="1002" w:type="dxa"/>
            <w:shd w:val="clear" w:color="auto" w:fill="auto"/>
            <w:noWrap/>
            <w:vAlign w:val="center"/>
            <w:hideMark/>
          </w:tcPr>
          <w:p w14:paraId="0DEEEEB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98.5</w:t>
            </w:r>
          </w:p>
        </w:tc>
        <w:tc>
          <w:tcPr>
            <w:tcW w:w="563" w:type="dxa"/>
            <w:shd w:val="clear" w:color="auto" w:fill="auto"/>
            <w:noWrap/>
            <w:vAlign w:val="center"/>
            <w:hideMark/>
          </w:tcPr>
          <w:p w14:paraId="224989A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4.4</w:t>
            </w:r>
          </w:p>
        </w:tc>
        <w:tc>
          <w:tcPr>
            <w:tcW w:w="522" w:type="dxa"/>
            <w:shd w:val="clear" w:color="auto" w:fill="auto"/>
            <w:noWrap/>
            <w:vAlign w:val="center"/>
            <w:hideMark/>
          </w:tcPr>
          <w:p w14:paraId="7A31851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58CC4FA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9797.1</w:t>
            </w:r>
          </w:p>
        </w:tc>
        <w:tc>
          <w:tcPr>
            <w:tcW w:w="897" w:type="dxa"/>
            <w:shd w:val="clear" w:color="auto" w:fill="auto"/>
            <w:noWrap/>
            <w:vAlign w:val="center"/>
            <w:hideMark/>
          </w:tcPr>
          <w:p w14:paraId="311964D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416.5</w:t>
            </w:r>
          </w:p>
        </w:tc>
        <w:tc>
          <w:tcPr>
            <w:tcW w:w="1120" w:type="dxa"/>
            <w:shd w:val="clear" w:color="auto" w:fill="auto"/>
            <w:noWrap/>
            <w:vAlign w:val="center"/>
            <w:hideMark/>
          </w:tcPr>
          <w:p w14:paraId="363F0A9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98.0</w:t>
            </w:r>
          </w:p>
        </w:tc>
        <w:tc>
          <w:tcPr>
            <w:tcW w:w="897" w:type="dxa"/>
            <w:shd w:val="clear" w:color="auto" w:fill="auto"/>
            <w:noWrap/>
            <w:vAlign w:val="center"/>
            <w:hideMark/>
          </w:tcPr>
          <w:p w14:paraId="2B850A7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4.3</w:t>
            </w:r>
          </w:p>
        </w:tc>
      </w:tr>
      <w:tr w:rsidR="00915A3E" w:rsidRPr="00915A3E" w14:paraId="30E48F43" w14:textId="77777777" w:rsidTr="00915A3E">
        <w:trPr>
          <w:jc w:val="center"/>
        </w:trPr>
        <w:tc>
          <w:tcPr>
            <w:tcW w:w="1898" w:type="dxa"/>
            <w:shd w:val="clear" w:color="auto" w:fill="auto"/>
            <w:noWrap/>
            <w:vAlign w:val="center"/>
            <w:hideMark/>
          </w:tcPr>
          <w:p w14:paraId="516C96C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15000</w:t>
            </w:r>
          </w:p>
        </w:tc>
        <w:tc>
          <w:tcPr>
            <w:tcW w:w="1343" w:type="dxa"/>
            <w:shd w:val="clear" w:color="auto" w:fill="auto"/>
            <w:noWrap/>
            <w:vAlign w:val="center"/>
            <w:hideMark/>
          </w:tcPr>
          <w:p w14:paraId="4DE234F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14055.0</w:t>
            </w:r>
          </w:p>
        </w:tc>
        <w:tc>
          <w:tcPr>
            <w:tcW w:w="880" w:type="dxa"/>
            <w:shd w:val="clear" w:color="auto" w:fill="auto"/>
            <w:noWrap/>
            <w:vAlign w:val="center"/>
            <w:hideMark/>
          </w:tcPr>
          <w:p w14:paraId="7A163F7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1239.5</w:t>
            </w:r>
          </w:p>
        </w:tc>
        <w:tc>
          <w:tcPr>
            <w:tcW w:w="1002" w:type="dxa"/>
            <w:shd w:val="clear" w:color="auto" w:fill="auto"/>
            <w:noWrap/>
            <w:vAlign w:val="center"/>
            <w:hideMark/>
          </w:tcPr>
          <w:p w14:paraId="428EB03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93.7</w:t>
            </w:r>
          </w:p>
        </w:tc>
        <w:tc>
          <w:tcPr>
            <w:tcW w:w="563" w:type="dxa"/>
            <w:shd w:val="clear" w:color="auto" w:fill="auto"/>
            <w:noWrap/>
            <w:vAlign w:val="center"/>
            <w:hideMark/>
          </w:tcPr>
          <w:p w14:paraId="770B407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8.8</w:t>
            </w:r>
          </w:p>
        </w:tc>
        <w:tc>
          <w:tcPr>
            <w:tcW w:w="522" w:type="dxa"/>
            <w:shd w:val="clear" w:color="auto" w:fill="auto"/>
            <w:noWrap/>
            <w:vAlign w:val="center"/>
            <w:hideMark/>
          </w:tcPr>
          <w:p w14:paraId="05B4F33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09E2704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14008.4</w:t>
            </w:r>
          </w:p>
        </w:tc>
        <w:tc>
          <w:tcPr>
            <w:tcW w:w="897" w:type="dxa"/>
            <w:shd w:val="clear" w:color="auto" w:fill="auto"/>
            <w:noWrap/>
            <w:vAlign w:val="center"/>
            <w:hideMark/>
          </w:tcPr>
          <w:p w14:paraId="4EF90BB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1301.6</w:t>
            </w:r>
          </w:p>
        </w:tc>
        <w:tc>
          <w:tcPr>
            <w:tcW w:w="1120" w:type="dxa"/>
            <w:shd w:val="clear" w:color="auto" w:fill="auto"/>
            <w:noWrap/>
            <w:vAlign w:val="center"/>
            <w:hideMark/>
          </w:tcPr>
          <w:p w14:paraId="434405E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93.4</w:t>
            </w:r>
          </w:p>
        </w:tc>
        <w:tc>
          <w:tcPr>
            <w:tcW w:w="897" w:type="dxa"/>
            <w:shd w:val="clear" w:color="auto" w:fill="auto"/>
            <w:noWrap/>
            <w:vAlign w:val="center"/>
            <w:hideMark/>
          </w:tcPr>
          <w:p w14:paraId="23A2A01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9.3</w:t>
            </w:r>
          </w:p>
        </w:tc>
      </w:tr>
      <w:tr w:rsidR="00915A3E" w:rsidRPr="00915A3E" w14:paraId="30358C6E" w14:textId="77777777" w:rsidTr="00915A3E">
        <w:trPr>
          <w:jc w:val="center"/>
        </w:trPr>
        <w:tc>
          <w:tcPr>
            <w:tcW w:w="1898" w:type="dxa"/>
            <w:shd w:val="clear" w:color="auto" w:fill="auto"/>
            <w:noWrap/>
            <w:vAlign w:val="center"/>
            <w:hideMark/>
          </w:tcPr>
          <w:p w14:paraId="4B58CF5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20000</w:t>
            </w:r>
          </w:p>
        </w:tc>
        <w:tc>
          <w:tcPr>
            <w:tcW w:w="1343" w:type="dxa"/>
            <w:shd w:val="clear" w:color="auto" w:fill="auto"/>
            <w:noWrap/>
            <w:vAlign w:val="center"/>
            <w:hideMark/>
          </w:tcPr>
          <w:p w14:paraId="2915FEF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18729.4</w:t>
            </w:r>
          </w:p>
        </w:tc>
        <w:tc>
          <w:tcPr>
            <w:tcW w:w="880" w:type="dxa"/>
            <w:shd w:val="clear" w:color="auto" w:fill="auto"/>
            <w:noWrap/>
            <w:vAlign w:val="center"/>
            <w:hideMark/>
          </w:tcPr>
          <w:p w14:paraId="4BE3077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1975.5</w:t>
            </w:r>
          </w:p>
        </w:tc>
        <w:tc>
          <w:tcPr>
            <w:tcW w:w="1002" w:type="dxa"/>
            <w:shd w:val="clear" w:color="auto" w:fill="auto"/>
            <w:noWrap/>
            <w:vAlign w:val="center"/>
            <w:hideMark/>
          </w:tcPr>
          <w:p w14:paraId="5FA27A3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93.6</w:t>
            </w:r>
          </w:p>
        </w:tc>
        <w:tc>
          <w:tcPr>
            <w:tcW w:w="563" w:type="dxa"/>
            <w:shd w:val="clear" w:color="auto" w:fill="auto"/>
            <w:noWrap/>
            <w:vAlign w:val="center"/>
            <w:hideMark/>
          </w:tcPr>
          <w:p w14:paraId="7737278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10.5</w:t>
            </w:r>
          </w:p>
        </w:tc>
        <w:tc>
          <w:tcPr>
            <w:tcW w:w="522" w:type="dxa"/>
            <w:shd w:val="clear" w:color="auto" w:fill="auto"/>
            <w:noWrap/>
            <w:vAlign w:val="center"/>
            <w:hideMark/>
          </w:tcPr>
          <w:p w14:paraId="19F3816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2DB89B9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19647.2</w:t>
            </w:r>
          </w:p>
        </w:tc>
        <w:tc>
          <w:tcPr>
            <w:tcW w:w="897" w:type="dxa"/>
            <w:shd w:val="clear" w:color="auto" w:fill="auto"/>
            <w:noWrap/>
            <w:vAlign w:val="center"/>
            <w:hideMark/>
          </w:tcPr>
          <w:p w14:paraId="1E35F92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1158.0</w:t>
            </w:r>
          </w:p>
        </w:tc>
        <w:tc>
          <w:tcPr>
            <w:tcW w:w="1120" w:type="dxa"/>
            <w:shd w:val="clear" w:color="auto" w:fill="auto"/>
            <w:noWrap/>
            <w:vAlign w:val="center"/>
            <w:hideMark/>
          </w:tcPr>
          <w:p w14:paraId="17A3117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98.2</w:t>
            </w:r>
          </w:p>
        </w:tc>
        <w:tc>
          <w:tcPr>
            <w:tcW w:w="897" w:type="dxa"/>
            <w:shd w:val="clear" w:color="auto" w:fill="auto"/>
            <w:noWrap/>
            <w:vAlign w:val="center"/>
            <w:hideMark/>
          </w:tcPr>
          <w:p w14:paraId="65E2286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5.9</w:t>
            </w:r>
          </w:p>
        </w:tc>
      </w:tr>
      <w:tr w:rsidR="00915A3E" w:rsidRPr="00915A3E" w14:paraId="0B78D26E" w14:textId="77777777" w:rsidTr="00915A3E">
        <w:trPr>
          <w:jc w:val="center"/>
        </w:trPr>
        <w:tc>
          <w:tcPr>
            <w:tcW w:w="1898" w:type="dxa"/>
            <w:shd w:val="clear" w:color="auto" w:fill="auto"/>
            <w:noWrap/>
            <w:vAlign w:val="center"/>
            <w:hideMark/>
          </w:tcPr>
          <w:p w14:paraId="11591F9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 </w:t>
            </w:r>
          </w:p>
        </w:tc>
        <w:tc>
          <w:tcPr>
            <w:tcW w:w="1343" w:type="dxa"/>
            <w:shd w:val="clear" w:color="auto" w:fill="auto"/>
            <w:noWrap/>
            <w:vAlign w:val="center"/>
            <w:hideMark/>
          </w:tcPr>
          <w:p w14:paraId="231DD69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880" w:type="dxa"/>
            <w:shd w:val="clear" w:color="auto" w:fill="auto"/>
            <w:noWrap/>
            <w:vAlign w:val="center"/>
            <w:hideMark/>
          </w:tcPr>
          <w:p w14:paraId="4ABD7C66"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1002" w:type="dxa"/>
            <w:shd w:val="clear" w:color="auto" w:fill="auto"/>
            <w:noWrap/>
            <w:vAlign w:val="center"/>
            <w:hideMark/>
          </w:tcPr>
          <w:p w14:paraId="625A3B54"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563" w:type="dxa"/>
            <w:shd w:val="clear" w:color="auto" w:fill="auto"/>
            <w:noWrap/>
            <w:vAlign w:val="center"/>
            <w:hideMark/>
          </w:tcPr>
          <w:p w14:paraId="3AA30365"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522" w:type="dxa"/>
            <w:shd w:val="clear" w:color="auto" w:fill="auto"/>
            <w:noWrap/>
            <w:vAlign w:val="center"/>
            <w:hideMark/>
          </w:tcPr>
          <w:p w14:paraId="1AC61987"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1343" w:type="dxa"/>
            <w:shd w:val="clear" w:color="auto" w:fill="auto"/>
            <w:noWrap/>
            <w:vAlign w:val="center"/>
            <w:hideMark/>
          </w:tcPr>
          <w:p w14:paraId="3CCE0FBC"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897" w:type="dxa"/>
            <w:shd w:val="clear" w:color="auto" w:fill="auto"/>
            <w:noWrap/>
            <w:vAlign w:val="center"/>
            <w:hideMark/>
          </w:tcPr>
          <w:p w14:paraId="483E61E8"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1120" w:type="dxa"/>
            <w:shd w:val="clear" w:color="auto" w:fill="auto"/>
            <w:noWrap/>
            <w:vAlign w:val="center"/>
            <w:hideMark/>
          </w:tcPr>
          <w:p w14:paraId="1C3EED7B"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897" w:type="dxa"/>
            <w:shd w:val="clear" w:color="auto" w:fill="auto"/>
            <w:noWrap/>
            <w:vAlign w:val="center"/>
            <w:hideMark/>
          </w:tcPr>
          <w:p w14:paraId="35294640"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r>
      <w:tr w:rsidR="00915A3E" w:rsidRPr="00915A3E" w14:paraId="0F95B843" w14:textId="77777777" w:rsidTr="00915A3E">
        <w:trPr>
          <w:jc w:val="center"/>
        </w:trPr>
        <w:tc>
          <w:tcPr>
            <w:tcW w:w="1898" w:type="dxa"/>
            <w:shd w:val="clear" w:color="auto" w:fill="auto"/>
            <w:noWrap/>
            <w:vAlign w:val="center"/>
            <w:hideMark/>
          </w:tcPr>
          <w:p w14:paraId="352D7CE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LLOQ (50 ng/mL)</w:t>
            </w:r>
          </w:p>
        </w:tc>
        <w:tc>
          <w:tcPr>
            <w:tcW w:w="1343" w:type="dxa"/>
            <w:shd w:val="clear" w:color="auto" w:fill="auto"/>
            <w:noWrap/>
            <w:vAlign w:val="center"/>
            <w:hideMark/>
          </w:tcPr>
          <w:p w14:paraId="2D1CC96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47.3</w:t>
            </w:r>
          </w:p>
        </w:tc>
        <w:tc>
          <w:tcPr>
            <w:tcW w:w="880" w:type="dxa"/>
            <w:shd w:val="clear" w:color="auto" w:fill="auto"/>
            <w:noWrap/>
            <w:vAlign w:val="center"/>
            <w:hideMark/>
          </w:tcPr>
          <w:p w14:paraId="44679CC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3.3</w:t>
            </w:r>
          </w:p>
        </w:tc>
        <w:tc>
          <w:tcPr>
            <w:tcW w:w="1002" w:type="dxa"/>
            <w:shd w:val="clear" w:color="auto" w:fill="auto"/>
            <w:noWrap/>
            <w:vAlign w:val="center"/>
            <w:hideMark/>
          </w:tcPr>
          <w:p w14:paraId="55F6841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94.6</w:t>
            </w:r>
          </w:p>
        </w:tc>
        <w:tc>
          <w:tcPr>
            <w:tcW w:w="563" w:type="dxa"/>
            <w:shd w:val="clear" w:color="auto" w:fill="auto"/>
            <w:noWrap/>
            <w:vAlign w:val="center"/>
            <w:hideMark/>
          </w:tcPr>
          <w:p w14:paraId="6D37361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7.0</w:t>
            </w:r>
          </w:p>
        </w:tc>
        <w:tc>
          <w:tcPr>
            <w:tcW w:w="522" w:type="dxa"/>
            <w:shd w:val="clear" w:color="auto" w:fill="auto"/>
            <w:noWrap/>
            <w:vAlign w:val="center"/>
            <w:hideMark/>
          </w:tcPr>
          <w:p w14:paraId="7A23A76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44D96B4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46.6</w:t>
            </w:r>
          </w:p>
        </w:tc>
        <w:tc>
          <w:tcPr>
            <w:tcW w:w="897" w:type="dxa"/>
            <w:shd w:val="clear" w:color="auto" w:fill="auto"/>
            <w:noWrap/>
            <w:vAlign w:val="center"/>
            <w:hideMark/>
          </w:tcPr>
          <w:p w14:paraId="63F5C62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4.5</w:t>
            </w:r>
          </w:p>
        </w:tc>
        <w:tc>
          <w:tcPr>
            <w:tcW w:w="1120" w:type="dxa"/>
            <w:shd w:val="clear" w:color="auto" w:fill="auto"/>
            <w:noWrap/>
            <w:vAlign w:val="center"/>
            <w:hideMark/>
          </w:tcPr>
          <w:p w14:paraId="66BECE6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93.1</w:t>
            </w:r>
          </w:p>
        </w:tc>
        <w:tc>
          <w:tcPr>
            <w:tcW w:w="897" w:type="dxa"/>
            <w:shd w:val="clear" w:color="auto" w:fill="auto"/>
            <w:noWrap/>
            <w:vAlign w:val="center"/>
            <w:hideMark/>
          </w:tcPr>
          <w:p w14:paraId="4102482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9.7</w:t>
            </w:r>
          </w:p>
        </w:tc>
      </w:tr>
      <w:tr w:rsidR="00915A3E" w:rsidRPr="00915A3E" w14:paraId="56C9909B" w14:textId="77777777" w:rsidTr="00915A3E">
        <w:trPr>
          <w:jc w:val="center"/>
        </w:trPr>
        <w:tc>
          <w:tcPr>
            <w:tcW w:w="1898" w:type="dxa"/>
            <w:shd w:val="clear" w:color="auto" w:fill="auto"/>
            <w:noWrap/>
            <w:vAlign w:val="center"/>
            <w:hideMark/>
          </w:tcPr>
          <w:p w14:paraId="7DCAA48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LQC (120 ng/mL)</w:t>
            </w:r>
          </w:p>
        </w:tc>
        <w:tc>
          <w:tcPr>
            <w:tcW w:w="1343" w:type="dxa"/>
            <w:shd w:val="clear" w:color="auto" w:fill="auto"/>
            <w:noWrap/>
            <w:vAlign w:val="center"/>
            <w:hideMark/>
          </w:tcPr>
          <w:p w14:paraId="6215AB3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116.9</w:t>
            </w:r>
          </w:p>
        </w:tc>
        <w:tc>
          <w:tcPr>
            <w:tcW w:w="880" w:type="dxa"/>
            <w:shd w:val="clear" w:color="auto" w:fill="auto"/>
            <w:noWrap/>
            <w:vAlign w:val="center"/>
            <w:hideMark/>
          </w:tcPr>
          <w:p w14:paraId="74578DB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10.6</w:t>
            </w:r>
          </w:p>
        </w:tc>
        <w:tc>
          <w:tcPr>
            <w:tcW w:w="1002" w:type="dxa"/>
            <w:shd w:val="clear" w:color="auto" w:fill="auto"/>
            <w:noWrap/>
            <w:vAlign w:val="center"/>
            <w:hideMark/>
          </w:tcPr>
          <w:p w14:paraId="5DE3982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97.4</w:t>
            </w:r>
          </w:p>
        </w:tc>
        <w:tc>
          <w:tcPr>
            <w:tcW w:w="563" w:type="dxa"/>
            <w:shd w:val="clear" w:color="auto" w:fill="auto"/>
            <w:noWrap/>
            <w:vAlign w:val="center"/>
            <w:hideMark/>
          </w:tcPr>
          <w:p w14:paraId="7F516D9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9.0</w:t>
            </w:r>
          </w:p>
        </w:tc>
        <w:tc>
          <w:tcPr>
            <w:tcW w:w="522" w:type="dxa"/>
            <w:shd w:val="clear" w:color="auto" w:fill="auto"/>
            <w:noWrap/>
            <w:vAlign w:val="center"/>
            <w:hideMark/>
          </w:tcPr>
          <w:p w14:paraId="71E5BD4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159C1A9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125.9</w:t>
            </w:r>
          </w:p>
        </w:tc>
        <w:tc>
          <w:tcPr>
            <w:tcW w:w="897" w:type="dxa"/>
            <w:shd w:val="clear" w:color="auto" w:fill="auto"/>
            <w:noWrap/>
            <w:vAlign w:val="center"/>
            <w:hideMark/>
          </w:tcPr>
          <w:p w14:paraId="20B5418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9.2</w:t>
            </w:r>
          </w:p>
        </w:tc>
        <w:tc>
          <w:tcPr>
            <w:tcW w:w="1120" w:type="dxa"/>
            <w:shd w:val="clear" w:color="auto" w:fill="auto"/>
            <w:noWrap/>
            <w:vAlign w:val="center"/>
            <w:hideMark/>
          </w:tcPr>
          <w:p w14:paraId="649F27F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104.9</w:t>
            </w:r>
          </w:p>
        </w:tc>
        <w:tc>
          <w:tcPr>
            <w:tcW w:w="897" w:type="dxa"/>
            <w:shd w:val="clear" w:color="auto" w:fill="auto"/>
            <w:noWrap/>
            <w:vAlign w:val="center"/>
            <w:hideMark/>
          </w:tcPr>
          <w:p w14:paraId="48CC0AD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7.3</w:t>
            </w:r>
          </w:p>
        </w:tc>
      </w:tr>
      <w:tr w:rsidR="00915A3E" w:rsidRPr="00915A3E" w14:paraId="430DB2E3" w14:textId="77777777" w:rsidTr="00915A3E">
        <w:trPr>
          <w:jc w:val="center"/>
        </w:trPr>
        <w:tc>
          <w:tcPr>
            <w:tcW w:w="1898" w:type="dxa"/>
            <w:shd w:val="clear" w:color="auto" w:fill="auto"/>
            <w:noWrap/>
            <w:vAlign w:val="center"/>
            <w:hideMark/>
          </w:tcPr>
          <w:p w14:paraId="0DBD7FB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MQC (8600 ng/mL)</w:t>
            </w:r>
          </w:p>
        </w:tc>
        <w:tc>
          <w:tcPr>
            <w:tcW w:w="1343" w:type="dxa"/>
            <w:shd w:val="clear" w:color="auto" w:fill="auto"/>
            <w:noWrap/>
            <w:vAlign w:val="center"/>
            <w:hideMark/>
          </w:tcPr>
          <w:p w14:paraId="39D9A7E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8455.0</w:t>
            </w:r>
          </w:p>
        </w:tc>
        <w:tc>
          <w:tcPr>
            <w:tcW w:w="880" w:type="dxa"/>
            <w:shd w:val="clear" w:color="auto" w:fill="auto"/>
            <w:noWrap/>
            <w:vAlign w:val="center"/>
            <w:hideMark/>
          </w:tcPr>
          <w:p w14:paraId="6E0A747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896.7</w:t>
            </w:r>
          </w:p>
        </w:tc>
        <w:tc>
          <w:tcPr>
            <w:tcW w:w="1002" w:type="dxa"/>
            <w:shd w:val="clear" w:color="auto" w:fill="auto"/>
            <w:noWrap/>
            <w:vAlign w:val="center"/>
            <w:hideMark/>
          </w:tcPr>
          <w:p w14:paraId="22232AF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98.3</w:t>
            </w:r>
          </w:p>
        </w:tc>
        <w:tc>
          <w:tcPr>
            <w:tcW w:w="563" w:type="dxa"/>
            <w:shd w:val="clear" w:color="auto" w:fill="auto"/>
            <w:noWrap/>
            <w:vAlign w:val="center"/>
            <w:hideMark/>
          </w:tcPr>
          <w:p w14:paraId="3A33F38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10.6</w:t>
            </w:r>
          </w:p>
        </w:tc>
        <w:tc>
          <w:tcPr>
            <w:tcW w:w="522" w:type="dxa"/>
            <w:shd w:val="clear" w:color="auto" w:fill="auto"/>
            <w:noWrap/>
            <w:vAlign w:val="center"/>
            <w:hideMark/>
          </w:tcPr>
          <w:p w14:paraId="7611C1C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shd w:val="clear" w:color="auto" w:fill="auto"/>
            <w:noWrap/>
            <w:vAlign w:val="center"/>
            <w:hideMark/>
          </w:tcPr>
          <w:p w14:paraId="2242E8C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8934.3</w:t>
            </w:r>
          </w:p>
        </w:tc>
        <w:tc>
          <w:tcPr>
            <w:tcW w:w="897" w:type="dxa"/>
            <w:shd w:val="clear" w:color="auto" w:fill="auto"/>
            <w:noWrap/>
            <w:vAlign w:val="center"/>
            <w:hideMark/>
          </w:tcPr>
          <w:p w14:paraId="7BE9B24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697.2</w:t>
            </w:r>
          </w:p>
        </w:tc>
        <w:tc>
          <w:tcPr>
            <w:tcW w:w="1120" w:type="dxa"/>
            <w:shd w:val="clear" w:color="auto" w:fill="auto"/>
            <w:noWrap/>
            <w:vAlign w:val="center"/>
            <w:hideMark/>
          </w:tcPr>
          <w:p w14:paraId="4F6A05C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103.9</w:t>
            </w:r>
          </w:p>
        </w:tc>
        <w:tc>
          <w:tcPr>
            <w:tcW w:w="897" w:type="dxa"/>
            <w:shd w:val="clear" w:color="auto" w:fill="auto"/>
            <w:noWrap/>
            <w:vAlign w:val="center"/>
            <w:hideMark/>
          </w:tcPr>
          <w:p w14:paraId="316D241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7.8</w:t>
            </w:r>
          </w:p>
        </w:tc>
      </w:tr>
      <w:tr w:rsidR="00915A3E" w:rsidRPr="00915A3E" w14:paraId="6E3DDE06" w14:textId="77777777" w:rsidTr="00915A3E">
        <w:trPr>
          <w:jc w:val="center"/>
        </w:trPr>
        <w:tc>
          <w:tcPr>
            <w:tcW w:w="1898" w:type="dxa"/>
            <w:tcBorders>
              <w:bottom w:val="single" w:sz="8" w:space="0" w:color="auto"/>
            </w:tcBorders>
            <w:shd w:val="clear" w:color="auto" w:fill="auto"/>
            <w:noWrap/>
            <w:vAlign w:val="center"/>
            <w:hideMark/>
          </w:tcPr>
          <w:p w14:paraId="7F947AF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HQC (18000 ng/mL)</w:t>
            </w:r>
          </w:p>
        </w:tc>
        <w:tc>
          <w:tcPr>
            <w:tcW w:w="1343" w:type="dxa"/>
            <w:tcBorders>
              <w:bottom w:val="single" w:sz="8" w:space="0" w:color="auto"/>
            </w:tcBorders>
            <w:shd w:val="clear" w:color="auto" w:fill="auto"/>
            <w:noWrap/>
            <w:vAlign w:val="center"/>
            <w:hideMark/>
          </w:tcPr>
          <w:p w14:paraId="7E3E410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18080.8</w:t>
            </w:r>
          </w:p>
        </w:tc>
        <w:tc>
          <w:tcPr>
            <w:tcW w:w="880" w:type="dxa"/>
            <w:tcBorders>
              <w:bottom w:val="single" w:sz="8" w:space="0" w:color="auto"/>
            </w:tcBorders>
            <w:shd w:val="clear" w:color="auto" w:fill="auto"/>
            <w:noWrap/>
            <w:vAlign w:val="center"/>
            <w:hideMark/>
          </w:tcPr>
          <w:p w14:paraId="3551879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1481.2</w:t>
            </w:r>
          </w:p>
        </w:tc>
        <w:tc>
          <w:tcPr>
            <w:tcW w:w="1002" w:type="dxa"/>
            <w:tcBorders>
              <w:bottom w:val="single" w:sz="8" w:space="0" w:color="auto"/>
            </w:tcBorders>
            <w:shd w:val="clear" w:color="auto" w:fill="auto"/>
            <w:noWrap/>
            <w:vAlign w:val="center"/>
            <w:hideMark/>
          </w:tcPr>
          <w:p w14:paraId="13CB111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100.4</w:t>
            </w:r>
          </w:p>
        </w:tc>
        <w:tc>
          <w:tcPr>
            <w:tcW w:w="563" w:type="dxa"/>
            <w:tcBorders>
              <w:bottom w:val="single" w:sz="8" w:space="0" w:color="auto"/>
            </w:tcBorders>
            <w:shd w:val="clear" w:color="auto" w:fill="auto"/>
            <w:noWrap/>
            <w:vAlign w:val="center"/>
            <w:hideMark/>
          </w:tcPr>
          <w:p w14:paraId="705C189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8.2</w:t>
            </w:r>
          </w:p>
        </w:tc>
        <w:tc>
          <w:tcPr>
            <w:tcW w:w="522" w:type="dxa"/>
            <w:tcBorders>
              <w:bottom w:val="single" w:sz="8" w:space="0" w:color="auto"/>
            </w:tcBorders>
            <w:shd w:val="clear" w:color="auto" w:fill="auto"/>
            <w:noWrap/>
            <w:vAlign w:val="center"/>
            <w:hideMark/>
          </w:tcPr>
          <w:p w14:paraId="182751C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343" w:type="dxa"/>
            <w:tcBorders>
              <w:bottom w:val="single" w:sz="8" w:space="0" w:color="auto"/>
            </w:tcBorders>
            <w:shd w:val="clear" w:color="auto" w:fill="auto"/>
            <w:noWrap/>
            <w:vAlign w:val="center"/>
            <w:hideMark/>
          </w:tcPr>
          <w:p w14:paraId="37786CA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19464.7</w:t>
            </w:r>
          </w:p>
        </w:tc>
        <w:tc>
          <w:tcPr>
            <w:tcW w:w="897" w:type="dxa"/>
            <w:tcBorders>
              <w:bottom w:val="single" w:sz="8" w:space="0" w:color="auto"/>
            </w:tcBorders>
            <w:shd w:val="clear" w:color="auto" w:fill="auto"/>
            <w:noWrap/>
            <w:vAlign w:val="center"/>
            <w:hideMark/>
          </w:tcPr>
          <w:p w14:paraId="21ECE8B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1058.7</w:t>
            </w:r>
          </w:p>
        </w:tc>
        <w:tc>
          <w:tcPr>
            <w:tcW w:w="1120" w:type="dxa"/>
            <w:tcBorders>
              <w:bottom w:val="single" w:sz="8" w:space="0" w:color="auto"/>
            </w:tcBorders>
            <w:shd w:val="clear" w:color="auto" w:fill="auto"/>
            <w:noWrap/>
            <w:vAlign w:val="center"/>
            <w:hideMark/>
          </w:tcPr>
          <w:p w14:paraId="18A9324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108.1</w:t>
            </w:r>
          </w:p>
        </w:tc>
        <w:tc>
          <w:tcPr>
            <w:tcW w:w="897" w:type="dxa"/>
            <w:tcBorders>
              <w:bottom w:val="single" w:sz="8" w:space="0" w:color="auto"/>
            </w:tcBorders>
            <w:shd w:val="clear" w:color="auto" w:fill="auto"/>
            <w:noWrap/>
            <w:vAlign w:val="center"/>
            <w:hideMark/>
          </w:tcPr>
          <w:p w14:paraId="2DFA167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noProof w:val="0"/>
              </w:rPr>
              <w:t>5.4</w:t>
            </w:r>
          </w:p>
        </w:tc>
      </w:tr>
    </w:tbl>
    <w:p w14:paraId="2558B6ED" w14:textId="556FCAA4" w:rsidR="00915A3E" w:rsidRPr="00615B25" w:rsidRDefault="00915A3E" w:rsidP="00915A3E">
      <w:pPr>
        <w:pStyle w:val="MDPI41tablecaption"/>
      </w:pPr>
      <w:r w:rsidRPr="00915A3E">
        <w:rPr>
          <w:b/>
        </w:rPr>
        <w:t xml:space="preserve">Table 2. </w:t>
      </w:r>
      <w:r w:rsidRPr="00615B25">
        <w:t>Accuracy and precision of dried blood spot (DBS) analysis</w:t>
      </w:r>
      <w:r>
        <w:t>.</w:t>
      </w:r>
    </w:p>
    <w:tbl>
      <w:tblPr>
        <w:tblW w:w="10465" w:type="dxa"/>
        <w:jc w:val="center"/>
        <w:tblLayout w:type="fixed"/>
        <w:tblCellMar>
          <w:left w:w="0" w:type="dxa"/>
          <w:right w:w="0" w:type="dxa"/>
        </w:tblCellMar>
        <w:tblLook w:val="04A0" w:firstRow="1" w:lastRow="0" w:firstColumn="1" w:lastColumn="0" w:noHBand="0" w:noVBand="1"/>
      </w:tblPr>
      <w:tblGrid>
        <w:gridCol w:w="1770"/>
        <w:gridCol w:w="1418"/>
        <w:gridCol w:w="882"/>
        <w:gridCol w:w="992"/>
        <w:gridCol w:w="720"/>
        <w:gridCol w:w="496"/>
        <w:gridCol w:w="1431"/>
        <w:gridCol w:w="992"/>
        <w:gridCol w:w="1101"/>
        <w:gridCol w:w="663"/>
      </w:tblGrid>
      <w:tr w:rsidR="00915A3E" w:rsidRPr="00915A3E" w14:paraId="4F1E828D" w14:textId="77777777" w:rsidTr="00915A3E">
        <w:trPr>
          <w:jc w:val="center"/>
        </w:trPr>
        <w:tc>
          <w:tcPr>
            <w:tcW w:w="2280" w:type="dxa"/>
            <w:vMerge w:val="restart"/>
            <w:tcBorders>
              <w:top w:val="single" w:sz="8" w:space="0" w:color="auto"/>
            </w:tcBorders>
            <w:shd w:val="clear" w:color="auto" w:fill="auto"/>
            <w:noWrap/>
            <w:vAlign w:val="center"/>
            <w:hideMark/>
          </w:tcPr>
          <w:p w14:paraId="576E6A41"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b/>
                <w:bCs/>
                <w:noProof w:val="0"/>
                <w:szCs w:val="24"/>
                <w:lang w:eastAsia="en-AU"/>
              </w:rPr>
            </w:pPr>
            <w:r w:rsidRPr="00915A3E">
              <w:rPr>
                <w:rFonts w:eastAsia="Times New Roman"/>
                <w:b/>
                <w:bCs/>
                <w:noProof w:val="0"/>
                <w:szCs w:val="24"/>
                <w:lang w:eastAsia="en-AU"/>
              </w:rPr>
              <w:t>Nominal conc (ng/mL)</w:t>
            </w:r>
          </w:p>
        </w:tc>
        <w:tc>
          <w:tcPr>
            <w:tcW w:w="5160" w:type="dxa"/>
            <w:gridSpan w:val="4"/>
            <w:tcBorders>
              <w:top w:val="single" w:sz="8" w:space="0" w:color="auto"/>
              <w:bottom w:val="single" w:sz="4" w:space="0" w:color="auto"/>
            </w:tcBorders>
            <w:shd w:val="clear" w:color="auto" w:fill="auto"/>
            <w:noWrap/>
            <w:vAlign w:val="center"/>
            <w:hideMark/>
          </w:tcPr>
          <w:p w14:paraId="41EF1661"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lang w:eastAsia="en-AU"/>
              </w:rPr>
            </w:pPr>
            <w:r w:rsidRPr="00915A3E">
              <w:rPr>
                <w:rFonts w:eastAsia="Times New Roman"/>
                <w:b/>
                <w:bCs/>
                <w:noProof w:val="0"/>
                <w:lang w:eastAsia="en-AU"/>
              </w:rPr>
              <w:t>Inter-assay</w:t>
            </w:r>
          </w:p>
        </w:tc>
        <w:tc>
          <w:tcPr>
            <w:tcW w:w="635" w:type="dxa"/>
            <w:tcBorders>
              <w:top w:val="single" w:sz="8" w:space="0" w:color="auto"/>
            </w:tcBorders>
            <w:shd w:val="clear" w:color="auto" w:fill="auto"/>
            <w:noWrap/>
            <w:vAlign w:val="center"/>
            <w:hideMark/>
          </w:tcPr>
          <w:p w14:paraId="0C3A6E1E" w14:textId="77777777" w:rsidR="00915A3E" w:rsidRPr="00915A3E" w:rsidRDefault="00915A3E" w:rsidP="00915A3E">
            <w:pPr>
              <w:autoSpaceDE w:val="0"/>
              <w:autoSpaceDN w:val="0"/>
              <w:adjustRightInd w:val="0"/>
              <w:snapToGrid w:val="0"/>
              <w:spacing w:line="240" w:lineRule="auto"/>
              <w:jc w:val="center"/>
              <w:rPr>
                <w:rFonts w:eastAsia="Times New Roman"/>
                <w:b/>
                <w:noProof w:val="0"/>
                <w:lang w:eastAsia="en-AU"/>
              </w:rPr>
            </w:pPr>
          </w:p>
        </w:tc>
        <w:tc>
          <w:tcPr>
            <w:tcW w:w="5387" w:type="dxa"/>
            <w:gridSpan w:val="4"/>
            <w:tcBorders>
              <w:top w:val="single" w:sz="8" w:space="0" w:color="auto"/>
              <w:bottom w:val="single" w:sz="4" w:space="0" w:color="auto"/>
            </w:tcBorders>
            <w:shd w:val="clear" w:color="auto" w:fill="auto"/>
            <w:noWrap/>
            <w:vAlign w:val="center"/>
            <w:hideMark/>
          </w:tcPr>
          <w:p w14:paraId="389F376F" w14:textId="77777777" w:rsidR="00915A3E" w:rsidRPr="00915A3E" w:rsidRDefault="00915A3E" w:rsidP="00915A3E">
            <w:pPr>
              <w:autoSpaceDE w:val="0"/>
              <w:autoSpaceDN w:val="0"/>
              <w:adjustRightInd w:val="0"/>
              <w:snapToGrid w:val="0"/>
              <w:spacing w:line="240" w:lineRule="auto"/>
              <w:jc w:val="center"/>
              <w:rPr>
                <w:rFonts w:eastAsia="Times New Roman"/>
                <w:b/>
                <w:bCs/>
                <w:noProof w:val="0"/>
                <w:lang w:eastAsia="en-AU"/>
              </w:rPr>
            </w:pPr>
            <w:r w:rsidRPr="00915A3E">
              <w:rPr>
                <w:rFonts w:eastAsia="Times New Roman"/>
                <w:b/>
                <w:bCs/>
                <w:noProof w:val="0"/>
                <w:lang w:eastAsia="en-AU"/>
              </w:rPr>
              <w:t>Intra-assay</w:t>
            </w:r>
          </w:p>
        </w:tc>
      </w:tr>
      <w:tr w:rsidR="00915A3E" w:rsidRPr="00915A3E" w14:paraId="0509D2A6" w14:textId="77777777" w:rsidTr="00915A3E">
        <w:trPr>
          <w:jc w:val="center"/>
        </w:trPr>
        <w:tc>
          <w:tcPr>
            <w:tcW w:w="2280" w:type="dxa"/>
            <w:vMerge/>
            <w:tcBorders>
              <w:bottom w:val="single" w:sz="4" w:space="0" w:color="auto"/>
            </w:tcBorders>
            <w:shd w:val="clear" w:color="auto" w:fill="auto"/>
            <w:noWrap/>
            <w:vAlign w:val="center"/>
            <w:hideMark/>
          </w:tcPr>
          <w:p w14:paraId="60834445"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p>
        </w:tc>
        <w:tc>
          <w:tcPr>
            <w:tcW w:w="1826" w:type="dxa"/>
            <w:tcBorders>
              <w:top w:val="single" w:sz="4" w:space="0" w:color="auto"/>
              <w:bottom w:val="single" w:sz="4" w:space="0" w:color="auto"/>
            </w:tcBorders>
            <w:shd w:val="clear" w:color="auto" w:fill="auto"/>
            <w:noWrap/>
            <w:vAlign w:val="center"/>
            <w:hideMark/>
          </w:tcPr>
          <w:p w14:paraId="26DEFE3C"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Mean (ng/mL)</w:t>
            </w:r>
          </w:p>
        </w:tc>
        <w:tc>
          <w:tcPr>
            <w:tcW w:w="1134" w:type="dxa"/>
            <w:tcBorders>
              <w:top w:val="single" w:sz="4" w:space="0" w:color="auto"/>
              <w:bottom w:val="single" w:sz="4" w:space="0" w:color="auto"/>
            </w:tcBorders>
            <w:shd w:val="clear" w:color="auto" w:fill="auto"/>
            <w:noWrap/>
            <w:vAlign w:val="center"/>
            <w:hideMark/>
          </w:tcPr>
          <w:p w14:paraId="53CBFE3D"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SD</w:t>
            </w:r>
          </w:p>
        </w:tc>
        <w:tc>
          <w:tcPr>
            <w:tcW w:w="1276" w:type="dxa"/>
            <w:tcBorders>
              <w:top w:val="single" w:sz="4" w:space="0" w:color="auto"/>
              <w:bottom w:val="single" w:sz="4" w:space="0" w:color="auto"/>
            </w:tcBorders>
            <w:shd w:val="clear" w:color="auto" w:fill="auto"/>
            <w:noWrap/>
            <w:vAlign w:val="center"/>
            <w:hideMark/>
          </w:tcPr>
          <w:p w14:paraId="53E55E13"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%Accuracy</w:t>
            </w:r>
          </w:p>
        </w:tc>
        <w:tc>
          <w:tcPr>
            <w:tcW w:w="924" w:type="dxa"/>
            <w:tcBorders>
              <w:bottom w:val="single" w:sz="4" w:space="0" w:color="auto"/>
            </w:tcBorders>
            <w:shd w:val="clear" w:color="auto" w:fill="auto"/>
            <w:noWrap/>
            <w:vAlign w:val="center"/>
            <w:hideMark/>
          </w:tcPr>
          <w:p w14:paraId="2156D8AB"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%CV</w:t>
            </w:r>
          </w:p>
        </w:tc>
        <w:tc>
          <w:tcPr>
            <w:tcW w:w="635" w:type="dxa"/>
            <w:tcBorders>
              <w:bottom w:val="single" w:sz="4" w:space="0" w:color="auto"/>
            </w:tcBorders>
            <w:shd w:val="clear" w:color="auto" w:fill="auto"/>
            <w:noWrap/>
            <w:vAlign w:val="center"/>
            <w:hideMark/>
          </w:tcPr>
          <w:p w14:paraId="1BC2E2D4"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p>
        </w:tc>
        <w:tc>
          <w:tcPr>
            <w:tcW w:w="1843" w:type="dxa"/>
            <w:tcBorders>
              <w:top w:val="single" w:sz="4" w:space="0" w:color="auto"/>
              <w:bottom w:val="single" w:sz="4" w:space="0" w:color="auto"/>
            </w:tcBorders>
            <w:shd w:val="clear" w:color="auto" w:fill="auto"/>
            <w:noWrap/>
            <w:vAlign w:val="center"/>
            <w:hideMark/>
          </w:tcPr>
          <w:p w14:paraId="1E84962A"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Mean (ng/mL)</w:t>
            </w:r>
          </w:p>
        </w:tc>
        <w:tc>
          <w:tcPr>
            <w:tcW w:w="1276" w:type="dxa"/>
            <w:tcBorders>
              <w:top w:val="single" w:sz="4" w:space="0" w:color="auto"/>
              <w:bottom w:val="single" w:sz="4" w:space="0" w:color="auto"/>
            </w:tcBorders>
            <w:shd w:val="clear" w:color="auto" w:fill="auto"/>
            <w:noWrap/>
            <w:vAlign w:val="center"/>
            <w:hideMark/>
          </w:tcPr>
          <w:p w14:paraId="5F81971B"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SD</w:t>
            </w:r>
          </w:p>
        </w:tc>
        <w:tc>
          <w:tcPr>
            <w:tcW w:w="1417" w:type="dxa"/>
            <w:tcBorders>
              <w:top w:val="single" w:sz="4" w:space="0" w:color="auto"/>
              <w:bottom w:val="single" w:sz="4" w:space="0" w:color="auto"/>
            </w:tcBorders>
            <w:shd w:val="clear" w:color="auto" w:fill="auto"/>
            <w:noWrap/>
            <w:vAlign w:val="center"/>
            <w:hideMark/>
          </w:tcPr>
          <w:p w14:paraId="098EDC73"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%Accuracy</w:t>
            </w:r>
          </w:p>
        </w:tc>
        <w:tc>
          <w:tcPr>
            <w:tcW w:w="851" w:type="dxa"/>
            <w:tcBorders>
              <w:top w:val="single" w:sz="4" w:space="0" w:color="auto"/>
              <w:bottom w:val="single" w:sz="4" w:space="0" w:color="auto"/>
            </w:tcBorders>
            <w:shd w:val="clear" w:color="auto" w:fill="auto"/>
            <w:noWrap/>
            <w:vAlign w:val="center"/>
            <w:hideMark/>
          </w:tcPr>
          <w:p w14:paraId="48ABE1FF" w14:textId="77777777" w:rsidR="00915A3E" w:rsidRPr="00915A3E" w:rsidRDefault="00915A3E" w:rsidP="00915A3E">
            <w:pPr>
              <w:autoSpaceDE w:val="0"/>
              <w:autoSpaceDN w:val="0"/>
              <w:adjustRightInd w:val="0"/>
              <w:snapToGrid w:val="0"/>
              <w:spacing w:line="240" w:lineRule="auto"/>
              <w:jc w:val="center"/>
              <w:rPr>
                <w:rFonts w:eastAsia="Times New Roman"/>
                <w:b/>
                <w:noProof w:val="0"/>
                <w:szCs w:val="24"/>
                <w:lang w:eastAsia="en-AU"/>
              </w:rPr>
            </w:pPr>
            <w:r w:rsidRPr="00915A3E">
              <w:rPr>
                <w:rFonts w:eastAsia="Times New Roman"/>
                <w:b/>
                <w:noProof w:val="0"/>
                <w:szCs w:val="24"/>
                <w:lang w:eastAsia="en-AU"/>
              </w:rPr>
              <w:t>%CV</w:t>
            </w:r>
          </w:p>
        </w:tc>
      </w:tr>
      <w:tr w:rsidR="00915A3E" w:rsidRPr="00915A3E" w14:paraId="24E9CBCD" w14:textId="77777777" w:rsidTr="00915A3E">
        <w:trPr>
          <w:jc w:val="center"/>
        </w:trPr>
        <w:tc>
          <w:tcPr>
            <w:tcW w:w="2280" w:type="dxa"/>
            <w:tcBorders>
              <w:top w:val="single" w:sz="4" w:space="0" w:color="auto"/>
            </w:tcBorders>
            <w:shd w:val="clear" w:color="auto" w:fill="auto"/>
            <w:noWrap/>
            <w:vAlign w:val="center"/>
            <w:hideMark/>
          </w:tcPr>
          <w:p w14:paraId="64E2EA1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50</w:t>
            </w:r>
          </w:p>
        </w:tc>
        <w:tc>
          <w:tcPr>
            <w:tcW w:w="1826" w:type="dxa"/>
            <w:tcBorders>
              <w:top w:val="single" w:sz="4" w:space="0" w:color="auto"/>
            </w:tcBorders>
            <w:shd w:val="clear" w:color="auto" w:fill="auto"/>
            <w:noWrap/>
            <w:vAlign w:val="center"/>
            <w:hideMark/>
          </w:tcPr>
          <w:p w14:paraId="703A7E1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51.6</w:t>
            </w:r>
          </w:p>
        </w:tc>
        <w:tc>
          <w:tcPr>
            <w:tcW w:w="1134" w:type="dxa"/>
            <w:tcBorders>
              <w:top w:val="single" w:sz="4" w:space="0" w:color="auto"/>
            </w:tcBorders>
            <w:shd w:val="clear" w:color="auto" w:fill="auto"/>
            <w:noWrap/>
            <w:vAlign w:val="center"/>
            <w:hideMark/>
          </w:tcPr>
          <w:p w14:paraId="0F052CF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6.25</w:t>
            </w:r>
          </w:p>
        </w:tc>
        <w:tc>
          <w:tcPr>
            <w:tcW w:w="1276" w:type="dxa"/>
            <w:tcBorders>
              <w:top w:val="single" w:sz="4" w:space="0" w:color="auto"/>
            </w:tcBorders>
            <w:shd w:val="clear" w:color="auto" w:fill="auto"/>
            <w:noWrap/>
            <w:vAlign w:val="center"/>
            <w:hideMark/>
          </w:tcPr>
          <w:p w14:paraId="549B31D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103.1</w:t>
            </w:r>
          </w:p>
        </w:tc>
        <w:tc>
          <w:tcPr>
            <w:tcW w:w="924" w:type="dxa"/>
            <w:tcBorders>
              <w:top w:val="single" w:sz="4" w:space="0" w:color="auto"/>
            </w:tcBorders>
            <w:shd w:val="clear" w:color="auto" w:fill="auto"/>
            <w:noWrap/>
            <w:vAlign w:val="center"/>
            <w:hideMark/>
          </w:tcPr>
          <w:p w14:paraId="60D3AF5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12.12</w:t>
            </w:r>
          </w:p>
        </w:tc>
        <w:tc>
          <w:tcPr>
            <w:tcW w:w="635" w:type="dxa"/>
            <w:tcBorders>
              <w:top w:val="single" w:sz="4" w:space="0" w:color="auto"/>
            </w:tcBorders>
            <w:shd w:val="clear" w:color="auto" w:fill="auto"/>
            <w:noWrap/>
            <w:vAlign w:val="center"/>
            <w:hideMark/>
          </w:tcPr>
          <w:p w14:paraId="33FB6DB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tcBorders>
              <w:top w:val="single" w:sz="4" w:space="0" w:color="auto"/>
            </w:tcBorders>
            <w:shd w:val="clear" w:color="auto" w:fill="auto"/>
            <w:noWrap/>
            <w:vAlign w:val="center"/>
            <w:hideMark/>
          </w:tcPr>
          <w:p w14:paraId="4FAC9A4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54.0</w:t>
            </w:r>
          </w:p>
        </w:tc>
        <w:tc>
          <w:tcPr>
            <w:tcW w:w="1276" w:type="dxa"/>
            <w:tcBorders>
              <w:top w:val="single" w:sz="4" w:space="0" w:color="auto"/>
            </w:tcBorders>
            <w:shd w:val="clear" w:color="auto" w:fill="auto"/>
            <w:noWrap/>
            <w:vAlign w:val="center"/>
            <w:hideMark/>
          </w:tcPr>
          <w:p w14:paraId="2BA8B59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4.12</w:t>
            </w:r>
          </w:p>
        </w:tc>
        <w:tc>
          <w:tcPr>
            <w:tcW w:w="1417" w:type="dxa"/>
            <w:tcBorders>
              <w:top w:val="single" w:sz="4" w:space="0" w:color="auto"/>
            </w:tcBorders>
            <w:shd w:val="clear" w:color="auto" w:fill="auto"/>
            <w:noWrap/>
            <w:vAlign w:val="center"/>
            <w:hideMark/>
          </w:tcPr>
          <w:p w14:paraId="024A78F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107.9</w:t>
            </w:r>
          </w:p>
        </w:tc>
        <w:tc>
          <w:tcPr>
            <w:tcW w:w="851" w:type="dxa"/>
            <w:tcBorders>
              <w:top w:val="single" w:sz="4" w:space="0" w:color="auto"/>
            </w:tcBorders>
            <w:shd w:val="clear" w:color="auto" w:fill="auto"/>
            <w:noWrap/>
            <w:vAlign w:val="center"/>
            <w:hideMark/>
          </w:tcPr>
          <w:p w14:paraId="7E0F1D7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4.12</w:t>
            </w:r>
          </w:p>
        </w:tc>
      </w:tr>
      <w:tr w:rsidR="00915A3E" w:rsidRPr="00915A3E" w14:paraId="70F9115A" w14:textId="77777777" w:rsidTr="00915A3E">
        <w:trPr>
          <w:jc w:val="center"/>
        </w:trPr>
        <w:tc>
          <w:tcPr>
            <w:tcW w:w="2280" w:type="dxa"/>
            <w:shd w:val="clear" w:color="auto" w:fill="auto"/>
            <w:noWrap/>
            <w:vAlign w:val="center"/>
            <w:hideMark/>
          </w:tcPr>
          <w:p w14:paraId="383C4E2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150</w:t>
            </w:r>
          </w:p>
        </w:tc>
        <w:tc>
          <w:tcPr>
            <w:tcW w:w="1826" w:type="dxa"/>
            <w:shd w:val="clear" w:color="auto" w:fill="auto"/>
            <w:noWrap/>
            <w:vAlign w:val="center"/>
            <w:hideMark/>
          </w:tcPr>
          <w:p w14:paraId="7C8F812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145.4</w:t>
            </w:r>
          </w:p>
        </w:tc>
        <w:tc>
          <w:tcPr>
            <w:tcW w:w="1134" w:type="dxa"/>
            <w:shd w:val="clear" w:color="auto" w:fill="auto"/>
            <w:noWrap/>
            <w:vAlign w:val="center"/>
            <w:hideMark/>
          </w:tcPr>
          <w:p w14:paraId="285B154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14.8</w:t>
            </w:r>
          </w:p>
        </w:tc>
        <w:tc>
          <w:tcPr>
            <w:tcW w:w="1276" w:type="dxa"/>
            <w:shd w:val="clear" w:color="auto" w:fill="auto"/>
            <w:noWrap/>
            <w:vAlign w:val="center"/>
            <w:hideMark/>
          </w:tcPr>
          <w:p w14:paraId="494C29B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97.0</w:t>
            </w:r>
          </w:p>
        </w:tc>
        <w:tc>
          <w:tcPr>
            <w:tcW w:w="924" w:type="dxa"/>
            <w:shd w:val="clear" w:color="auto" w:fill="auto"/>
            <w:noWrap/>
            <w:vAlign w:val="center"/>
            <w:hideMark/>
          </w:tcPr>
          <w:p w14:paraId="09E96B6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10.18</w:t>
            </w:r>
          </w:p>
        </w:tc>
        <w:tc>
          <w:tcPr>
            <w:tcW w:w="635" w:type="dxa"/>
            <w:shd w:val="clear" w:color="auto" w:fill="auto"/>
            <w:noWrap/>
            <w:vAlign w:val="center"/>
            <w:hideMark/>
          </w:tcPr>
          <w:p w14:paraId="5AC96BE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7C3CC2C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137.7</w:t>
            </w:r>
          </w:p>
        </w:tc>
        <w:tc>
          <w:tcPr>
            <w:tcW w:w="1276" w:type="dxa"/>
            <w:shd w:val="clear" w:color="auto" w:fill="auto"/>
            <w:noWrap/>
            <w:vAlign w:val="center"/>
            <w:hideMark/>
          </w:tcPr>
          <w:p w14:paraId="4209019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6.05</w:t>
            </w:r>
          </w:p>
        </w:tc>
        <w:tc>
          <w:tcPr>
            <w:tcW w:w="1417" w:type="dxa"/>
            <w:shd w:val="clear" w:color="auto" w:fill="auto"/>
            <w:noWrap/>
            <w:vAlign w:val="center"/>
            <w:hideMark/>
          </w:tcPr>
          <w:p w14:paraId="6E8DF73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91.8</w:t>
            </w:r>
          </w:p>
        </w:tc>
        <w:tc>
          <w:tcPr>
            <w:tcW w:w="851" w:type="dxa"/>
            <w:shd w:val="clear" w:color="auto" w:fill="auto"/>
            <w:noWrap/>
            <w:vAlign w:val="center"/>
            <w:hideMark/>
          </w:tcPr>
          <w:p w14:paraId="57519CC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4.39</w:t>
            </w:r>
          </w:p>
        </w:tc>
      </w:tr>
      <w:tr w:rsidR="00915A3E" w:rsidRPr="00915A3E" w14:paraId="1D39AED2" w14:textId="77777777" w:rsidTr="00915A3E">
        <w:trPr>
          <w:jc w:val="center"/>
        </w:trPr>
        <w:tc>
          <w:tcPr>
            <w:tcW w:w="2280" w:type="dxa"/>
            <w:shd w:val="clear" w:color="auto" w:fill="auto"/>
            <w:noWrap/>
            <w:vAlign w:val="center"/>
            <w:hideMark/>
          </w:tcPr>
          <w:p w14:paraId="1E1BA25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400</w:t>
            </w:r>
          </w:p>
        </w:tc>
        <w:tc>
          <w:tcPr>
            <w:tcW w:w="1826" w:type="dxa"/>
            <w:shd w:val="clear" w:color="auto" w:fill="auto"/>
            <w:noWrap/>
            <w:vAlign w:val="center"/>
            <w:hideMark/>
          </w:tcPr>
          <w:p w14:paraId="252F5B7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414.6</w:t>
            </w:r>
          </w:p>
        </w:tc>
        <w:tc>
          <w:tcPr>
            <w:tcW w:w="1134" w:type="dxa"/>
            <w:shd w:val="clear" w:color="auto" w:fill="auto"/>
            <w:noWrap/>
            <w:vAlign w:val="center"/>
            <w:hideMark/>
          </w:tcPr>
          <w:p w14:paraId="24D3B93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29.25</w:t>
            </w:r>
          </w:p>
        </w:tc>
        <w:tc>
          <w:tcPr>
            <w:tcW w:w="1276" w:type="dxa"/>
            <w:shd w:val="clear" w:color="auto" w:fill="auto"/>
            <w:noWrap/>
            <w:vAlign w:val="center"/>
            <w:hideMark/>
          </w:tcPr>
          <w:p w14:paraId="69766C6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96.3</w:t>
            </w:r>
          </w:p>
        </w:tc>
        <w:tc>
          <w:tcPr>
            <w:tcW w:w="924" w:type="dxa"/>
            <w:shd w:val="clear" w:color="auto" w:fill="auto"/>
            <w:noWrap/>
            <w:vAlign w:val="center"/>
            <w:hideMark/>
          </w:tcPr>
          <w:p w14:paraId="7F29359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7.05</w:t>
            </w:r>
          </w:p>
        </w:tc>
        <w:tc>
          <w:tcPr>
            <w:tcW w:w="635" w:type="dxa"/>
            <w:shd w:val="clear" w:color="auto" w:fill="auto"/>
            <w:noWrap/>
            <w:vAlign w:val="center"/>
            <w:hideMark/>
          </w:tcPr>
          <w:p w14:paraId="6AFA701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24AC35F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417.9</w:t>
            </w:r>
          </w:p>
        </w:tc>
        <w:tc>
          <w:tcPr>
            <w:tcW w:w="1276" w:type="dxa"/>
            <w:shd w:val="clear" w:color="auto" w:fill="auto"/>
            <w:noWrap/>
            <w:vAlign w:val="center"/>
            <w:hideMark/>
          </w:tcPr>
          <w:p w14:paraId="7DA03E4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9.22</w:t>
            </w:r>
          </w:p>
        </w:tc>
        <w:tc>
          <w:tcPr>
            <w:tcW w:w="1417" w:type="dxa"/>
            <w:shd w:val="clear" w:color="auto" w:fill="auto"/>
            <w:noWrap/>
            <w:vAlign w:val="center"/>
            <w:hideMark/>
          </w:tcPr>
          <w:p w14:paraId="0782A81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104.5</w:t>
            </w:r>
          </w:p>
        </w:tc>
        <w:tc>
          <w:tcPr>
            <w:tcW w:w="851" w:type="dxa"/>
            <w:shd w:val="clear" w:color="auto" w:fill="auto"/>
            <w:noWrap/>
            <w:vAlign w:val="center"/>
            <w:hideMark/>
          </w:tcPr>
          <w:p w14:paraId="3A77B3C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2.21</w:t>
            </w:r>
          </w:p>
        </w:tc>
      </w:tr>
      <w:tr w:rsidR="00915A3E" w:rsidRPr="00915A3E" w14:paraId="7B9FD5F7" w14:textId="77777777" w:rsidTr="00915A3E">
        <w:trPr>
          <w:jc w:val="center"/>
        </w:trPr>
        <w:tc>
          <w:tcPr>
            <w:tcW w:w="2280" w:type="dxa"/>
            <w:shd w:val="clear" w:color="auto" w:fill="auto"/>
            <w:noWrap/>
            <w:vAlign w:val="center"/>
            <w:hideMark/>
          </w:tcPr>
          <w:p w14:paraId="48F45E9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1000</w:t>
            </w:r>
          </w:p>
        </w:tc>
        <w:tc>
          <w:tcPr>
            <w:tcW w:w="1826" w:type="dxa"/>
            <w:shd w:val="clear" w:color="auto" w:fill="auto"/>
            <w:noWrap/>
            <w:vAlign w:val="center"/>
            <w:hideMark/>
          </w:tcPr>
          <w:p w14:paraId="61DEB34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998.9</w:t>
            </w:r>
          </w:p>
        </w:tc>
        <w:tc>
          <w:tcPr>
            <w:tcW w:w="1134" w:type="dxa"/>
            <w:shd w:val="clear" w:color="auto" w:fill="auto"/>
            <w:noWrap/>
            <w:vAlign w:val="center"/>
            <w:hideMark/>
          </w:tcPr>
          <w:p w14:paraId="3791A45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86.1</w:t>
            </w:r>
          </w:p>
        </w:tc>
        <w:tc>
          <w:tcPr>
            <w:tcW w:w="1276" w:type="dxa"/>
            <w:shd w:val="clear" w:color="auto" w:fill="auto"/>
            <w:noWrap/>
            <w:vAlign w:val="center"/>
            <w:hideMark/>
          </w:tcPr>
          <w:p w14:paraId="695B1BE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99.9</w:t>
            </w:r>
          </w:p>
        </w:tc>
        <w:tc>
          <w:tcPr>
            <w:tcW w:w="924" w:type="dxa"/>
            <w:shd w:val="clear" w:color="auto" w:fill="auto"/>
            <w:noWrap/>
            <w:vAlign w:val="center"/>
            <w:hideMark/>
          </w:tcPr>
          <w:p w14:paraId="674AA63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8.63</w:t>
            </w:r>
          </w:p>
        </w:tc>
        <w:tc>
          <w:tcPr>
            <w:tcW w:w="635" w:type="dxa"/>
            <w:shd w:val="clear" w:color="auto" w:fill="auto"/>
            <w:noWrap/>
            <w:vAlign w:val="center"/>
            <w:hideMark/>
          </w:tcPr>
          <w:p w14:paraId="35D76D6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248C4DE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987.83</w:t>
            </w:r>
          </w:p>
        </w:tc>
        <w:tc>
          <w:tcPr>
            <w:tcW w:w="1276" w:type="dxa"/>
            <w:shd w:val="clear" w:color="auto" w:fill="auto"/>
            <w:noWrap/>
            <w:vAlign w:val="center"/>
            <w:hideMark/>
          </w:tcPr>
          <w:p w14:paraId="35954FB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68.29</w:t>
            </w:r>
          </w:p>
        </w:tc>
        <w:tc>
          <w:tcPr>
            <w:tcW w:w="1417" w:type="dxa"/>
            <w:shd w:val="clear" w:color="auto" w:fill="auto"/>
            <w:noWrap/>
            <w:vAlign w:val="center"/>
            <w:hideMark/>
          </w:tcPr>
          <w:p w14:paraId="3C1FED2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98.8</w:t>
            </w:r>
          </w:p>
        </w:tc>
        <w:tc>
          <w:tcPr>
            <w:tcW w:w="851" w:type="dxa"/>
            <w:shd w:val="clear" w:color="auto" w:fill="auto"/>
            <w:noWrap/>
            <w:vAlign w:val="center"/>
            <w:hideMark/>
          </w:tcPr>
          <w:p w14:paraId="2FDAE56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6.91</w:t>
            </w:r>
          </w:p>
        </w:tc>
      </w:tr>
      <w:tr w:rsidR="00915A3E" w:rsidRPr="00915A3E" w14:paraId="5351BA9C" w14:textId="77777777" w:rsidTr="00915A3E">
        <w:trPr>
          <w:jc w:val="center"/>
        </w:trPr>
        <w:tc>
          <w:tcPr>
            <w:tcW w:w="2280" w:type="dxa"/>
            <w:shd w:val="clear" w:color="auto" w:fill="auto"/>
            <w:noWrap/>
            <w:vAlign w:val="center"/>
            <w:hideMark/>
          </w:tcPr>
          <w:p w14:paraId="3DE0695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2500</w:t>
            </w:r>
          </w:p>
        </w:tc>
        <w:tc>
          <w:tcPr>
            <w:tcW w:w="1826" w:type="dxa"/>
            <w:shd w:val="clear" w:color="auto" w:fill="auto"/>
            <w:noWrap/>
            <w:vAlign w:val="center"/>
            <w:hideMark/>
          </w:tcPr>
          <w:p w14:paraId="65368F0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2418.6</w:t>
            </w:r>
          </w:p>
        </w:tc>
        <w:tc>
          <w:tcPr>
            <w:tcW w:w="1134" w:type="dxa"/>
            <w:shd w:val="clear" w:color="auto" w:fill="auto"/>
            <w:noWrap/>
            <w:vAlign w:val="center"/>
            <w:hideMark/>
          </w:tcPr>
          <w:p w14:paraId="791966D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236.76</w:t>
            </w:r>
          </w:p>
        </w:tc>
        <w:tc>
          <w:tcPr>
            <w:tcW w:w="1276" w:type="dxa"/>
            <w:shd w:val="clear" w:color="auto" w:fill="auto"/>
            <w:noWrap/>
            <w:vAlign w:val="center"/>
            <w:hideMark/>
          </w:tcPr>
          <w:p w14:paraId="5E8A3C0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96.8</w:t>
            </w:r>
          </w:p>
        </w:tc>
        <w:tc>
          <w:tcPr>
            <w:tcW w:w="924" w:type="dxa"/>
            <w:shd w:val="clear" w:color="auto" w:fill="auto"/>
            <w:noWrap/>
            <w:vAlign w:val="center"/>
            <w:hideMark/>
          </w:tcPr>
          <w:p w14:paraId="782D221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9.79</w:t>
            </w:r>
          </w:p>
        </w:tc>
        <w:tc>
          <w:tcPr>
            <w:tcW w:w="635" w:type="dxa"/>
            <w:shd w:val="clear" w:color="auto" w:fill="auto"/>
            <w:noWrap/>
            <w:vAlign w:val="center"/>
            <w:hideMark/>
          </w:tcPr>
          <w:p w14:paraId="7680E45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49C54C6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2487.7</w:t>
            </w:r>
          </w:p>
        </w:tc>
        <w:tc>
          <w:tcPr>
            <w:tcW w:w="1276" w:type="dxa"/>
            <w:shd w:val="clear" w:color="auto" w:fill="auto"/>
            <w:noWrap/>
            <w:vAlign w:val="center"/>
            <w:hideMark/>
          </w:tcPr>
          <w:p w14:paraId="3110E11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93.88</w:t>
            </w:r>
          </w:p>
        </w:tc>
        <w:tc>
          <w:tcPr>
            <w:tcW w:w="1417" w:type="dxa"/>
            <w:shd w:val="clear" w:color="auto" w:fill="auto"/>
            <w:noWrap/>
            <w:vAlign w:val="center"/>
            <w:hideMark/>
          </w:tcPr>
          <w:p w14:paraId="6F96EDE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99.5</w:t>
            </w:r>
          </w:p>
        </w:tc>
        <w:tc>
          <w:tcPr>
            <w:tcW w:w="851" w:type="dxa"/>
            <w:shd w:val="clear" w:color="auto" w:fill="auto"/>
            <w:noWrap/>
            <w:vAlign w:val="center"/>
            <w:hideMark/>
          </w:tcPr>
          <w:p w14:paraId="0C311DD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3.77</w:t>
            </w:r>
          </w:p>
        </w:tc>
      </w:tr>
      <w:tr w:rsidR="00915A3E" w:rsidRPr="00915A3E" w14:paraId="65BA5FF8" w14:textId="77777777" w:rsidTr="00915A3E">
        <w:trPr>
          <w:jc w:val="center"/>
        </w:trPr>
        <w:tc>
          <w:tcPr>
            <w:tcW w:w="2280" w:type="dxa"/>
            <w:shd w:val="clear" w:color="auto" w:fill="auto"/>
            <w:noWrap/>
            <w:vAlign w:val="center"/>
            <w:hideMark/>
          </w:tcPr>
          <w:p w14:paraId="0170CAC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5000</w:t>
            </w:r>
          </w:p>
        </w:tc>
        <w:tc>
          <w:tcPr>
            <w:tcW w:w="1826" w:type="dxa"/>
            <w:shd w:val="clear" w:color="auto" w:fill="auto"/>
            <w:noWrap/>
            <w:vAlign w:val="center"/>
            <w:hideMark/>
          </w:tcPr>
          <w:p w14:paraId="5F20723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4902.9</w:t>
            </w:r>
          </w:p>
        </w:tc>
        <w:tc>
          <w:tcPr>
            <w:tcW w:w="1134" w:type="dxa"/>
            <w:shd w:val="clear" w:color="auto" w:fill="auto"/>
            <w:noWrap/>
            <w:vAlign w:val="center"/>
            <w:hideMark/>
          </w:tcPr>
          <w:p w14:paraId="7ACB533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478.28</w:t>
            </w:r>
          </w:p>
        </w:tc>
        <w:tc>
          <w:tcPr>
            <w:tcW w:w="1276" w:type="dxa"/>
            <w:shd w:val="clear" w:color="auto" w:fill="auto"/>
            <w:noWrap/>
            <w:vAlign w:val="center"/>
            <w:hideMark/>
          </w:tcPr>
          <w:p w14:paraId="654568F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98.1</w:t>
            </w:r>
          </w:p>
        </w:tc>
        <w:tc>
          <w:tcPr>
            <w:tcW w:w="924" w:type="dxa"/>
            <w:shd w:val="clear" w:color="auto" w:fill="auto"/>
            <w:noWrap/>
            <w:vAlign w:val="center"/>
            <w:hideMark/>
          </w:tcPr>
          <w:p w14:paraId="32D86D8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9.76</w:t>
            </w:r>
          </w:p>
        </w:tc>
        <w:tc>
          <w:tcPr>
            <w:tcW w:w="635" w:type="dxa"/>
            <w:shd w:val="clear" w:color="auto" w:fill="auto"/>
            <w:noWrap/>
            <w:vAlign w:val="center"/>
            <w:hideMark/>
          </w:tcPr>
          <w:p w14:paraId="33EE847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605BF04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4660.5</w:t>
            </w:r>
          </w:p>
        </w:tc>
        <w:tc>
          <w:tcPr>
            <w:tcW w:w="1276" w:type="dxa"/>
            <w:shd w:val="clear" w:color="auto" w:fill="auto"/>
            <w:noWrap/>
            <w:vAlign w:val="center"/>
            <w:hideMark/>
          </w:tcPr>
          <w:p w14:paraId="421E2FC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235.21</w:t>
            </w:r>
          </w:p>
        </w:tc>
        <w:tc>
          <w:tcPr>
            <w:tcW w:w="1417" w:type="dxa"/>
            <w:shd w:val="clear" w:color="auto" w:fill="auto"/>
            <w:noWrap/>
            <w:vAlign w:val="center"/>
            <w:hideMark/>
          </w:tcPr>
          <w:p w14:paraId="1B1BF0E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93.2</w:t>
            </w:r>
          </w:p>
        </w:tc>
        <w:tc>
          <w:tcPr>
            <w:tcW w:w="851" w:type="dxa"/>
            <w:shd w:val="clear" w:color="auto" w:fill="auto"/>
            <w:noWrap/>
            <w:vAlign w:val="center"/>
            <w:hideMark/>
          </w:tcPr>
          <w:p w14:paraId="19F4F72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5.05</w:t>
            </w:r>
          </w:p>
        </w:tc>
      </w:tr>
      <w:tr w:rsidR="00915A3E" w:rsidRPr="00915A3E" w14:paraId="5B7ED56F" w14:textId="77777777" w:rsidTr="00915A3E">
        <w:trPr>
          <w:jc w:val="center"/>
        </w:trPr>
        <w:tc>
          <w:tcPr>
            <w:tcW w:w="2280" w:type="dxa"/>
            <w:shd w:val="clear" w:color="auto" w:fill="auto"/>
            <w:noWrap/>
            <w:vAlign w:val="center"/>
            <w:hideMark/>
          </w:tcPr>
          <w:p w14:paraId="3A008DE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10000</w:t>
            </w:r>
          </w:p>
        </w:tc>
        <w:tc>
          <w:tcPr>
            <w:tcW w:w="1826" w:type="dxa"/>
            <w:shd w:val="clear" w:color="auto" w:fill="auto"/>
            <w:noWrap/>
            <w:vAlign w:val="center"/>
            <w:hideMark/>
          </w:tcPr>
          <w:p w14:paraId="4250A47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9829.3</w:t>
            </w:r>
          </w:p>
        </w:tc>
        <w:tc>
          <w:tcPr>
            <w:tcW w:w="1134" w:type="dxa"/>
            <w:shd w:val="clear" w:color="auto" w:fill="auto"/>
            <w:noWrap/>
            <w:vAlign w:val="center"/>
            <w:hideMark/>
          </w:tcPr>
          <w:p w14:paraId="2AC2695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773.53</w:t>
            </w:r>
          </w:p>
        </w:tc>
        <w:tc>
          <w:tcPr>
            <w:tcW w:w="1276" w:type="dxa"/>
            <w:shd w:val="clear" w:color="auto" w:fill="auto"/>
            <w:noWrap/>
            <w:vAlign w:val="center"/>
            <w:hideMark/>
          </w:tcPr>
          <w:p w14:paraId="7F50B91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98.3</w:t>
            </w:r>
          </w:p>
        </w:tc>
        <w:tc>
          <w:tcPr>
            <w:tcW w:w="924" w:type="dxa"/>
            <w:shd w:val="clear" w:color="auto" w:fill="auto"/>
            <w:noWrap/>
            <w:vAlign w:val="center"/>
            <w:hideMark/>
          </w:tcPr>
          <w:p w14:paraId="56DADE2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7.87</w:t>
            </w:r>
          </w:p>
        </w:tc>
        <w:tc>
          <w:tcPr>
            <w:tcW w:w="635" w:type="dxa"/>
            <w:shd w:val="clear" w:color="auto" w:fill="auto"/>
            <w:noWrap/>
            <w:vAlign w:val="center"/>
            <w:hideMark/>
          </w:tcPr>
          <w:p w14:paraId="2588B29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083733F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9403.2</w:t>
            </w:r>
          </w:p>
        </w:tc>
        <w:tc>
          <w:tcPr>
            <w:tcW w:w="1276" w:type="dxa"/>
            <w:shd w:val="clear" w:color="auto" w:fill="auto"/>
            <w:noWrap/>
            <w:vAlign w:val="center"/>
            <w:hideMark/>
          </w:tcPr>
          <w:p w14:paraId="48D0D1D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518.96</w:t>
            </w:r>
          </w:p>
        </w:tc>
        <w:tc>
          <w:tcPr>
            <w:tcW w:w="1417" w:type="dxa"/>
            <w:shd w:val="clear" w:color="auto" w:fill="auto"/>
            <w:noWrap/>
            <w:vAlign w:val="center"/>
            <w:hideMark/>
          </w:tcPr>
          <w:p w14:paraId="0E0FC3E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94</w:t>
            </w:r>
          </w:p>
        </w:tc>
        <w:tc>
          <w:tcPr>
            <w:tcW w:w="851" w:type="dxa"/>
            <w:shd w:val="clear" w:color="auto" w:fill="auto"/>
            <w:noWrap/>
            <w:vAlign w:val="center"/>
            <w:hideMark/>
          </w:tcPr>
          <w:p w14:paraId="0DDC679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5.52</w:t>
            </w:r>
          </w:p>
        </w:tc>
      </w:tr>
      <w:tr w:rsidR="00915A3E" w:rsidRPr="00915A3E" w14:paraId="12593484" w14:textId="77777777" w:rsidTr="00915A3E">
        <w:trPr>
          <w:jc w:val="center"/>
        </w:trPr>
        <w:tc>
          <w:tcPr>
            <w:tcW w:w="2280" w:type="dxa"/>
            <w:shd w:val="clear" w:color="auto" w:fill="auto"/>
            <w:noWrap/>
            <w:vAlign w:val="center"/>
            <w:hideMark/>
          </w:tcPr>
          <w:p w14:paraId="2BCEEB6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15000</w:t>
            </w:r>
          </w:p>
        </w:tc>
        <w:tc>
          <w:tcPr>
            <w:tcW w:w="1826" w:type="dxa"/>
            <w:shd w:val="clear" w:color="auto" w:fill="auto"/>
            <w:noWrap/>
            <w:vAlign w:val="center"/>
            <w:hideMark/>
          </w:tcPr>
          <w:p w14:paraId="3C298D5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15510.0</w:t>
            </w:r>
          </w:p>
        </w:tc>
        <w:tc>
          <w:tcPr>
            <w:tcW w:w="1134" w:type="dxa"/>
            <w:shd w:val="clear" w:color="auto" w:fill="auto"/>
            <w:noWrap/>
            <w:vAlign w:val="center"/>
            <w:hideMark/>
          </w:tcPr>
          <w:p w14:paraId="2120CC1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720.3</w:t>
            </w:r>
          </w:p>
        </w:tc>
        <w:tc>
          <w:tcPr>
            <w:tcW w:w="1276" w:type="dxa"/>
            <w:shd w:val="clear" w:color="auto" w:fill="auto"/>
            <w:noWrap/>
            <w:vAlign w:val="center"/>
            <w:hideMark/>
          </w:tcPr>
          <w:p w14:paraId="0241E3F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103.4</w:t>
            </w:r>
          </w:p>
        </w:tc>
        <w:tc>
          <w:tcPr>
            <w:tcW w:w="924" w:type="dxa"/>
            <w:shd w:val="clear" w:color="auto" w:fill="auto"/>
            <w:noWrap/>
            <w:vAlign w:val="center"/>
            <w:hideMark/>
          </w:tcPr>
          <w:p w14:paraId="34D29C1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4.64</w:t>
            </w:r>
          </w:p>
        </w:tc>
        <w:tc>
          <w:tcPr>
            <w:tcW w:w="635" w:type="dxa"/>
            <w:shd w:val="clear" w:color="auto" w:fill="auto"/>
            <w:noWrap/>
            <w:vAlign w:val="center"/>
            <w:hideMark/>
          </w:tcPr>
          <w:p w14:paraId="0EBB351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3EF175B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14828.3</w:t>
            </w:r>
          </w:p>
        </w:tc>
        <w:tc>
          <w:tcPr>
            <w:tcW w:w="1276" w:type="dxa"/>
            <w:shd w:val="clear" w:color="auto" w:fill="auto"/>
            <w:noWrap/>
            <w:vAlign w:val="center"/>
            <w:hideMark/>
          </w:tcPr>
          <w:p w14:paraId="503D178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624.43</w:t>
            </w:r>
          </w:p>
        </w:tc>
        <w:tc>
          <w:tcPr>
            <w:tcW w:w="1417" w:type="dxa"/>
            <w:shd w:val="clear" w:color="auto" w:fill="auto"/>
            <w:noWrap/>
            <w:vAlign w:val="center"/>
            <w:hideMark/>
          </w:tcPr>
          <w:p w14:paraId="52BCD5D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98.9</w:t>
            </w:r>
          </w:p>
        </w:tc>
        <w:tc>
          <w:tcPr>
            <w:tcW w:w="851" w:type="dxa"/>
            <w:shd w:val="clear" w:color="auto" w:fill="auto"/>
            <w:noWrap/>
            <w:vAlign w:val="center"/>
            <w:hideMark/>
          </w:tcPr>
          <w:p w14:paraId="316532C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4.21</w:t>
            </w:r>
          </w:p>
        </w:tc>
      </w:tr>
      <w:tr w:rsidR="00915A3E" w:rsidRPr="00915A3E" w14:paraId="3A75557F" w14:textId="77777777" w:rsidTr="00915A3E">
        <w:trPr>
          <w:jc w:val="center"/>
        </w:trPr>
        <w:tc>
          <w:tcPr>
            <w:tcW w:w="2280" w:type="dxa"/>
            <w:shd w:val="clear" w:color="auto" w:fill="auto"/>
            <w:noWrap/>
            <w:vAlign w:val="center"/>
            <w:hideMark/>
          </w:tcPr>
          <w:p w14:paraId="03405EF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20000</w:t>
            </w:r>
          </w:p>
        </w:tc>
        <w:tc>
          <w:tcPr>
            <w:tcW w:w="1826" w:type="dxa"/>
            <w:shd w:val="clear" w:color="auto" w:fill="auto"/>
            <w:noWrap/>
            <w:vAlign w:val="center"/>
            <w:hideMark/>
          </w:tcPr>
          <w:p w14:paraId="5788916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20058.4</w:t>
            </w:r>
          </w:p>
        </w:tc>
        <w:tc>
          <w:tcPr>
            <w:tcW w:w="1134" w:type="dxa"/>
            <w:shd w:val="clear" w:color="auto" w:fill="auto"/>
            <w:noWrap/>
            <w:vAlign w:val="center"/>
            <w:hideMark/>
          </w:tcPr>
          <w:p w14:paraId="2D3F34E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673.36</w:t>
            </w:r>
          </w:p>
        </w:tc>
        <w:tc>
          <w:tcPr>
            <w:tcW w:w="1276" w:type="dxa"/>
            <w:shd w:val="clear" w:color="auto" w:fill="auto"/>
            <w:noWrap/>
            <w:vAlign w:val="center"/>
            <w:hideMark/>
          </w:tcPr>
          <w:p w14:paraId="6CDD3E8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100.3</w:t>
            </w:r>
          </w:p>
        </w:tc>
        <w:tc>
          <w:tcPr>
            <w:tcW w:w="924" w:type="dxa"/>
            <w:shd w:val="clear" w:color="auto" w:fill="auto"/>
            <w:noWrap/>
            <w:vAlign w:val="center"/>
            <w:hideMark/>
          </w:tcPr>
          <w:p w14:paraId="7EB4E59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3.36</w:t>
            </w:r>
          </w:p>
        </w:tc>
        <w:tc>
          <w:tcPr>
            <w:tcW w:w="635" w:type="dxa"/>
            <w:shd w:val="clear" w:color="auto" w:fill="auto"/>
            <w:noWrap/>
            <w:vAlign w:val="center"/>
            <w:hideMark/>
          </w:tcPr>
          <w:p w14:paraId="7CD880D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18D3676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19944.4</w:t>
            </w:r>
          </w:p>
        </w:tc>
        <w:tc>
          <w:tcPr>
            <w:tcW w:w="1276" w:type="dxa"/>
            <w:shd w:val="clear" w:color="auto" w:fill="auto"/>
            <w:noWrap/>
            <w:vAlign w:val="center"/>
            <w:hideMark/>
          </w:tcPr>
          <w:p w14:paraId="01320C1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97.91</w:t>
            </w:r>
          </w:p>
        </w:tc>
        <w:tc>
          <w:tcPr>
            <w:tcW w:w="1417" w:type="dxa"/>
            <w:shd w:val="clear" w:color="auto" w:fill="auto"/>
            <w:noWrap/>
            <w:vAlign w:val="center"/>
            <w:hideMark/>
          </w:tcPr>
          <w:p w14:paraId="7807BBD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99.7</w:t>
            </w:r>
          </w:p>
        </w:tc>
        <w:tc>
          <w:tcPr>
            <w:tcW w:w="851" w:type="dxa"/>
            <w:shd w:val="clear" w:color="auto" w:fill="auto"/>
            <w:noWrap/>
            <w:vAlign w:val="center"/>
            <w:hideMark/>
          </w:tcPr>
          <w:p w14:paraId="5BBE9C0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0.49</w:t>
            </w:r>
          </w:p>
        </w:tc>
      </w:tr>
      <w:tr w:rsidR="00915A3E" w:rsidRPr="00915A3E" w14:paraId="41F147AF" w14:textId="77777777" w:rsidTr="00915A3E">
        <w:trPr>
          <w:jc w:val="center"/>
        </w:trPr>
        <w:tc>
          <w:tcPr>
            <w:tcW w:w="2280" w:type="dxa"/>
            <w:shd w:val="clear" w:color="auto" w:fill="auto"/>
            <w:noWrap/>
            <w:vAlign w:val="center"/>
            <w:hideMark/>
          </w:tcPr>
          <w:p w14:paraId="425DBA8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 </w:t>
            </w:r>
          </w:p>
        </w:tc>
        <w:tc>
          <w:tcPr>
            <w:tcW w:w="1826" w:type="dxa"/>
            <w:shd w:val="clear" w:color="auto" w:fill="auto"/>
            <w:noWrap/>
            <w:vAlign w:val="center"/>
            <w:hideMark/>
          </w:tcPr>
          <w:p w14:paraId="20C8F11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134" w:type="dxa"/>
            <w:shd w:val="clear" w:color="auto" w:fill="auto"/>
            <w:noWrap/>
            <w:vAlign w:val="center"/>
            <w:hideMark/>
          </w:tcPr>
          <w:p w14:paraId="57D67784"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1276" w:type="dxa"/>
            <w:shd w:val="clear" w:color="auto" w:fill="auto"/>
            <w:noWrap/>
            <w:vAlign w:val="center"/>
            <w:hideMark/>
          </w:tcPr>
          <w:p w14:paraId="59B3F392"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924" w:type="dxa"/>
            <w:shd w:val="clear" w:color="auto" w:fill="auto"/>
            <w:noWrap/>
            <w:vAlign w:val="center"/>
            <w:hideMark/>
          </w:tcPr>
          <w:p w14:paraId="6794021A"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635" w:type="dxa"/>
            <w:shd w:val="clear" w:color="auto" w:fill="auto"/>
            <w:noWrap/>
            <w:vAlign w:val="center"/>
            <w:hideMark/>
          </w:tcPr>
          <w:p w14:paraId="34218606"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1843" w:type="dxa"/>
            <w:shd w:val="clear" w:color="auto" w:fill="auto"/>
            <w:noWrap/>
            <w:vAlign w:val="center"/>
            <w:hideMark/>
          </w:tcPr>
          <w:p w14:paraId="051F6136"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1276" w:type="dxa"/>
            <w:shd w:val="clear" w:color="auto" w:fill="auto"/>
            <w:noWrap/>
            <w:vAlign w:val="center"/>
            <w:hideMark/>
          </w:tcPr>
          <w:p w14:paraId="1FE0FD9B"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1417" w:type="dxa"/>
            <w:shd w:val="clear" w:color="auto" w:fill="auto"/>
            <w:noWrap/>
            <w:vAlign w:val="center"/>
            <w:hideMark/>
          </w:tcPr>
          <w:p w14:paraId="156DE480"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c>
          <w:tcPr>
            <w:tcW w:w="851" w:type="dxa"/>
            <w:shd w:val="clear" w:color="auto" w:fill="auto"/>
            <w:noWrap/>
            <w:vAlign w:val="center"/>
            <w:hideMark/>
          </w:tcPr>
          <w:p w14:paraId="33E3B707" w14:textId="77777777" w:rsidR="00915A3E" w:rsidRPr="00915A3E" w:rsidRDefault="00915A3E" w:rsidP="00915A3E">
            <w:pPr>
              <w:autoSpaceDE w:val="0"/>
              <w:autoSpaceDN w:val="0"/>
              <w:adjustRightInd w:val="0"/>
              <w:snapToGrid w:val="0"/>
              <w:spacing w:line="240" w:lineRule="auto"/>
              <w:jc w:val="center"/>
              <w:rPr>
                <w:rFonts w:ascii="Times New Roman" w:eastAsia="Times New Roman" w:hAnsi="Times New Roman"/>
                <w:noProof w:val="0"/>
                <w:lang w:eastAsia="en-AU"/>
              </w:rPr>
            </w:pPr>
          </w:p>
        </w:tc>
      </w:tr>
      <w:tr w:rsidR="00915A3E" w:rsidRPr="00915A3E" w14:paraId="6F39551F" w14:textId="77777777" w:rsidTr="00915A3E">
        <w:trPr>
          <w:jc w:val="center"/>
        </w:trPr>
        <w:tc>
          <w:tcPr>
            <w:tcW w:w="2280" w:type="dxa"/>
            <w:shd w:val="clear" w:color="auto" w:fill="auto"/>
            <w:noWrap/>
            <w:vAlign w:val="center"/>
            <w:hideMark/>
          </w:tcPr>
          <w:p w14:paraId="6057CAA1"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LLOQ (50 ng/mL)</w:t>
            </w:r>
          </w:p>
        </w:tc>
        <w:tc>
          <w:tcPr>
            <w:tcW w:w="1826" w:type="dxa"/>
            <w:shd w:val="clear" w:color="auto" w:fill="auto"/>
            <w:noWrap/>
            <w:vAlign w:val="center"/>
            <w:hideMark/>
          </w:tcPr>
          <w:p w14:paraId="23057C5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52.9</w:t>
            </w:r>
          </w:p>
        </w:tc>
        <w:tc>
          <w:tcPr>
            <w:tcW w:w="1134" w:type="dxa"/>
            <w:shd w:val="clear" w:color="auto" w:fill="auto"/>
            <w:noWrap/>
            <w:vAlign w:val="center"/>
            <w:hideMark/>
          </w:tcPr>
          <w:p w14:paraId="247F3CF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5.7</w:t>
            </w:r>
          </w:p>
        </w:tc>
        <w:tc>
          <w:tcPr>
            <w:tcW w:w="1276" w:type="dxa"/>
            <w:shd w:val="clear" w:color="auto" w:fill="auto"/>
            <w:noWrap/>
            <w:vAlign w:val="center"/>
            <w:hideMark/>
          </w:tcPr>
          <w:p w14:paraId="4052AE2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105.7</w:t>
            </w:r>
          </w:p>
        </w:tc>
        <w:tc>
          <w:tcPr>
            <w:tcW w:w="924" w:type="dxa"/>
            <w:shd w:val="clear" w:color="auto" w:fill="auto"/>
            <w:noWrap/>
            <w:vAlign w:val="center"/>
            <w:hideMark/>
          </w:tcPr>
          <w:p w14:paraId="3EEF6FD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10.8</w:t>
            </w:r>
          </w:p>
        </w:tc>
        <w:tc>
          <w:tcPr>
            <w:tcW w:w="635" w:type="dxa"/>
            <w:shd w:val="clear" w:color="auto" w:fill="auto"/>
            <w:noWrap/>
            <w:vAlign w:val="center"/>
            <w:hideMark/>
          </w:tcPr>
          <w:p w14:paraId="02A1B5D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10C9B7D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49.5</w:t>
            </w:r>
          </w:p>
        </w:tc>
        <w:tc>
          <w:tcPr>
            <w:tcW w:w="1276" w:type="dxa"/>
            <w:shd w:val="clear" w:color="auto" w:fill="auto"/>
            <w:noWrap/>
            <w:vAlign w:val="center"/>
            <w:hideMark/>
          </w:tcPr>
          <w:p w14:paraId="259DCE6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6.5</w:t>
            </w:r>
          </w:p>
        </w:tc>
        <w:tc>
          <w:tcPr>
            <w:tcW w:w="1417" w:type="dxa"/>
            <w:shd w:val="clear" w:color="auto" w:fill="auto"/>
            <w:noWrap/>
            <w:vAlign w:val="center"/>
            <w:hideMark/>
          </w:tcPr>
          <w:p w14:paraId="3204317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99.1</w:t>
            </w:r>
          </w:p>
        </w:tc>
        <w:tc>
          <w:tcPr>
            <w:tcW w:w="851" w:type="dxa"/>
            <w:shd w:val="clear" w:color="auto" w:fill="auto"/>
            <w:noWrap/>
            <w:vAlign w:val="center"/>
            <w:hideMark/>
          </w:tcPr>
          <w:p w14:paraId="65EA793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13.1</w:t>
            </w:r>
          </w:p>
        </w:tc>
      </w:tr>
      <w:tr w:rsidR="00915A3E" w:rsidRPr="00915A3E" w14:paraId="4A6FBA67" w14:textId="77777777" w:rsidTr="00915A3E">
        <w:trPr>
          <w:jc w:val="center"/>
        </w:trPr>
        <w:tc>
          <w:tcPr>
            <w:tcW w:w="2280" w:type="dxa"/>
            <w:shd w:val="clear" w:color="auto" w:fill="auto"/>
            <w:noWrap/>
            <w:vAlign w:val="center"/>
            <w:hideMark/>
          </w:tcPr>
          <w:p w14:paraId="0583892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LQC (120 ng/mL)</w:t>
            </w:r>
          </w:p>
        </w:tc>
        <w:tc>
          <w:tcPr>
            <w:tcW w:w="1826" w:type="dxa"/>
            <w:shd w:val="clear" w:color="auto" w:fill="auto"/>
            <w:noWrap/>
            <w:vAlign w:val="center"/>
            <w:hideMark/>
          </w:tcPr>
          <w:p w14:paraId="2231D05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118.3</w:t>
            </w:r>
          </w:p>
        </w:tc>
        <w:tc>
          <w:tcPr>
            <w:tcW w:w="1134" w:type="dxa"/>
            <w:shd w:val="clear" w:color="auto" w:fill="auto"/>
            <w:noWrap/>
            <w:vAlign w:val="center"/>
            <w:hideMark/>
          </w:tcPr>
          <w:p w14:paraId="6C11BF3D"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13.5</w:t>
            </w:r>
          </w:p>
        </w:tc>
        <w:tc>
          <w:tcPr>
            <w:tcW w:w="1276" w:type="dxa"/>
            <w:shd w:val="clear" w:color="auto" w:fill="auto"/>
            <w:noWrap/>
            <w:vAlign w:val="center"/>
            <w:hideMark/>
          </w:tcPr>
          <w:p w14:paraId="7FE2851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98.6</w:t>
            </w:r>
          </w:p>
        </w:tc>
        <w:tc>
          <w:tcPr>
            <w:tcW w:w="924" w:type="dxa"/>
            <w:shd w:val="clear" w:color="auto" w:fill="auto"/>
            <w:noWrap/>
            <w:vAlign w:val="center"/>
            <w:hideMark/>
          </w:tcPr>
          <w:p w14:paraId="3019906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11.4</w:t>
            </w:r>
          </w:p>
        </w:tc>
        <w:tc>
          <w:tcPr>
            <w:tcW w:w="635" w:type="dxa"/>
            <w:shd w:val="clear" w:color="auto" w:fill="auto"/>
            <w:noWrap/>
            <w:vAlign w:val="center"/>
            <w:hideMark/>
          </w:tcPr>
          <w:p w14:paraId="5FC5F51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48596C18"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117.5</w:t>
            </w:r>
          </w:p>
        </w:tc>
        <w:tc>
          <w:tcPr>
            <w:tcW w:w="1276" w:type="dxa"/>
            <w:shd w:val="clear" w:color="auto" w:fill="auto"/>
            <w:noWrap/>
            <w:vAlign w:val="center"/>
            <w:hideMark/>
          </w:tcPr>
          <w:p w14:paraId="2994B9A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13.1</w:t>
            </w:r>
          </w:p>
        </w:tc>
        <w:tc>
          <w:tcPr>
            <w:tcW w:w="1417" w:type="dxa"/>
            <w:shd w:val="clear" w:color="auto" w:fill="auto"/>
            <w:noWrap/>
            <w:vAlign w:val="center"/>
            <w:hideMark/>
          </w:tcPr>
          <w:p w14:paraId="49A2E27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97.9</w:t>
            </w:r>
          </w:p>
        </w:tc>
        <w:tc>
          <w:tcPr>
            <w:tcW w:w="851" w:type="dxa"/>
            <w:shd w:val="clear" w:color="auto" w:fill="auto"/>
            <w:noWrap/>
            <w:vAlign w:val="center"/>
            <w:hideMark/>
          </w:tcPr>
          <w:p w14:paraId="08D765F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11.2</w:t>
            </w:r>
          </w:p>
        </w:tc>
      </w:tr>
      <w:tr w:rsidR="00915A3E" w:rsidRPr="00915A3E" w14:paraId="141B370F" w14:textId="77777777" w:rsidTr="00915A3E">
        <w:trPr>
          <w:jc w:val="center"/>
        </w:trPr>
        <w:tc>
          <w:tcPr>
            <w:tcW w:w="2280" w:type="dxa"/>
            <w:shd w:val="clear" w:color="auto" w:fill="auto"/>
            <w:noWrap/>
            <w:vAlign w:val="center"/>
            <w:hideMark/>
          </w:tcPr>
          <w:p w14:paraId="3B4EDD0E"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MQC (8600 ng/mL)</w:t>
            </w:r>
          </w:p>
        </w:tc>
        <w:tc>
          <w:tcPr>
            <w:tcW w:w="1826" w:type="dxa"/>
            <w:shd w:val="clear" w:color="auto" w:fill="auto"/>
            <w:noWrap/>
            <w:vAlign w:val="center"/>
            <w:hideMark/>
          </w:tcPr>
          <w:p w14:paraId="5B83418B"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9085.2</w:t>
            </w:r>
          </w:p>
        </w:tc>
        <w:tc>
          <w:tcPr>
            <w:tcW w:w="1134" w:type="dxa"/>
            <w:shd w:val="clear" w:color="auto" w:fill="auto"/>
            <w:noWrap/>
            <w:vAlign w:val="center"/>
            <w:hideMark/>
          </w:tcPr>
          <w:p w14:paraId="55765B1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729.1</w:t>
            </w:r>
          </w:p>
        </w:tc>
        <w:tc>
          <w:tcPr>
            <w:tcW w:w="1276" w:type="dxa"/>
            <w:shd w:val="clear" w:color="auto" w:fill="auto"/>
            <w:noWrap/>
            <w:vAlign w:val="center"/>
            <w:hideMark/>
          </w:tcPr>
          <w:p w14:paraId="389098C2"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105.6</w:t>
            </w:r>
          </w:p>
        </w:tc>
        <w:tc>
          <w:tcPr>
            <w:tcW w:w="924" w:type="dxa"/>
            <w:shd w:val="clear" w:color="auto" w:fill="auto"/>
            <w:noWrap/>
            <w:vAlign w:val="center"/>
            <w:hideMark/>
          </w:tcPr>
          <w:p w14:paraId="1E410E7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8.1</w:t>
            </w:r>
          </w:p>
        </w:tc>
        <w:tc>
          <w:tcPr>
            <w:tcW w:w="635" w:type="dxa"/>
            <w:shd w:val="clear" w:color="auto" w:fill="auto"/>
            <w:noWrap/>
            <w:vAlign w:val="center"/>
            <w:hideMark/>
          </w:tcPr>
          <w:p w14:paraId="40D3AED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shd w:val="clear" w:color="auto" w:fill="auto"/>
            <w:noWrap/>
            <w:vAlign w:val="center"/>
            <w:hideMark/>
          </w:tcPr>
          <w:p w14:paraId="13E8156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9012.3</w:t>
            </w:r>
          </w:p>
        </w:tc>
        <w:tc>
          <w:tcPr>
            <w:tcW w:w="1276" w:type="dxa"/>
            <w:shd w:val="clear" w:color="auto" w:fill="auto"/>
            <w:noWrap/>
            <w:vAlign w:val="center"/>
            <w:hideMark/>
          </w:tcPr>
          <w:p w14:paraId="4989BDF9"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881.7</w:t>
            </w:r>
          </w:p>
        </w:tc>
        <w:tc>
          <w:tcPr>
            <w:tcW w:w="1417" w:type="dxa"/>
            <w:shd w:val="clear" w:color="auto" w:fill="auto"/>
            <w:noWrap/>
            <w:vAlign w:val="center"/>
            <w:hideMark/>
          </w:tcPr>
          <w:p w14:paraId="4449E41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104.8</w:t>
            </w:r>
          </w:p>
        </w:tc>
        <w:tc>
          <w:tcPr>
            <w:tcW w:w="851" w:type="dxa"/>
            <w:shd w:val="clear" w:color="auto" w:fill="auto"/>
            <w:noWrap/>
            <w:vAlign w:val="center"/>
            <w:hideMark/>
          </w:tcPr>
          <w:p w14:paraId="61BFBF4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9.8</w:t>
            </w:r>
          </w:p>
        </w:tc>
      </w:tr>
      <w:tr w:rsidR="00915A3E" w:rsidRPr="00915A3E" w14:paraId="552F3A7A" w14:textId="77777777" w:rsidTr="00915A3E">
        <w:trPr>
          <w:jc w:val="center"/>
        </w:trPr>
        <w:tc>
          <w:tcPr>
            <w:tcW w:w="2280" w:type="dxa"/>
            <w:tcBorders>
              <w:bottom w:val="single" w:sz="8" w:space="0" w:color="auto"/>
            </w:tcBorders>
            <w:shd w:val="clear" w:color="auto" w:fill="auto"/>
            <w:noWrap/>
            <w:vAlign w:val="center"/>
            <w:hideMark/>
          </w:tcPr>
          <w:p w14:paraId="731BE980"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HQC (18000 ng/mL)</w:t>
            </w:r>
          </w:p>
        </w:tc>
        <w:tc>
          <w:tcPr>
            <w:tcW w:w="1826" w:type="dxa"/>
            <w:tcBorders>
              <w:bottom w:val="single" w:sz="8" w:space="0" w:color="auto"/>
            </w:tcBorders>
            <w:shd w:val="clear" w:color="auto" w:fill="auto"/>
            <w:noWrap/>
            <w:vAlign w:val="center"/>
            <w:hideMark/>
          </w:tcPr>
          <w:p w14:paraId="10D9D667"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17604.7</w:t>
            </w:r>
          </w:p>
        </w:tc>
        <w:tc>
          <w:tcPr>
            <w:tcW w:w="1134" w:type="dxa"/>
            <w:tcBorders>
              <w:bottom w:val="single" w:sz="8" w:space="0" w:color="auto"/>
            </w:tcBorders>
            <w:shd w:val="clear" w:color="auto" w:fill="auto"/>
            <w:noWrap/>
            <w:vAlign w:val="center"/>
            <w:hideMark/>
          </w:tcPr>
          <w:p w14:paraId="1002ED7C"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1793.4</w:t>
            </w:r>
          </w:p>
        </w:tc>
        <w:tc>
          <w:tcPr>
            <w:tcW w:w="1276" w:type="dxa"/>
            <w:tcBorders>
              <w:bottom w:val="single" w:sz="8" w:space="0" w:color="auto"/>
            </w:tcBorders>
            <w:shd w:val="clear" w:color="auto" w:fill="auto"/>
            <w:noWrap/>
            <w:vAlign w:val="center"/>
            <w:hideMark/>
          </w:tcPr>
          <w:p w14:paraId="5B5D6D23"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97.9</w:t>
            </w:r>
          </w:p>
        </w:tc>
        <w:tc>
          <w:tcPr>
            <w:tcW w:w="924" w:type="dxa"/>
            <w:tcBorders>
              <w:bottom w:val="single" w:sz="8" w:space="0" w:color="auto"/>
            </w:tcBorders>
            <w:shd w:val="clear" w:color="auto" w:fill="auto"/>
            <w:noWrap/>
            <w:vAlign w:val="center"/>
            <w:hideMark/>
          </w:tcPr>
          <w:p w14:paraId="2A30AF4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10.2</w:t>
            </w:r>
          </w:p>
        </w:tc>
        <w:tc>
          <w:tcPr>
            <w:tcW w:w="635" w:type="dxa"/>
            <w:tcBorders>
              <w:bottom w:val="single" w:sz="8" w:space="0" w:color="auto"/>
            </w:tcBorders>
            <w:shd w:val="clear" w:color="auto" w:fill="auto"/>
            <w:noWrap/>
            <w:vAlign w:val="center"/>
            <w:hideMark/>
          </w:tcPr>
          <w:p w14:paraId="28C22A24"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p>
        </w:tc>
        <w:tc>
          <w:tcPr>
            <w:tcW w:w="1843" w:type="dxa"/>
            <w:tcBorders>
              <w:bottom w:val="single" w:sz="8" w:space="0" w:color="auto"/>
            </w:tcBorders>
            <w:shd w:val="clear" w:color="auto" w:fill="auto"/>
            <w:noWrap/>
            <w:vAlign w:val="center"/>
            <w:hideMark/>
          </w:tcPr>
          <w:p w14:paraId="3BD762A6"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19504.4</w:t>
            </w:r>
          </w:p>
        </w:tc>
        <w:tc>
          <w:tcPr>
            <w:tcW w:w="1276" w:type="dxa"/>
            <w:tcBorders>
              <w:bottom w:val="single" w:sz="8" w:space="0" w:color="auto"/>
            </w:tcBorders>
            <w:shd w:val="clear" w:color="auto" w:fill="auto"/>
            <w:noWrap/>
            <w:vAlign w:val="center"/>
            <w:hideMark/>
          </w:tcPr>
          <w:p w14:paraId="50F03D4A"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648.6</w:t>
            </w:r>
          </w:p>
        </w:tc>
        <w:tc>
          <w:tcPr>
            <w:tcW w:w="1417" w:type="dxa"/>
            <w:tcBorders>
              <w:bottom w:val="single" w:sz="8" w:space="0" w:color="auto"/>
            </w:tcBorders>
            <w:shd w:val="clear" w:color="auto" w:fill="auto"/>
            <w:noWrap/>
            <w:vAlign w:val="center"/>
            <w:hideMark/>
          </w:tcPr>
          <w:p w14:paraId="2B6C288F"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108.4</w:t>
            </w:r>
          </w:p>
        </w:tc>
        <w:tc>
          <w:tcPr>
            <w:tcW w:w="851" w:type="dxa"/>
            <w:tcBorders>
              <w:bottom w:val="single" w:sz="8" w:space="0" w:color="auto"/>
            </w:tcBorders>
            <w:shd w:val="clear" w:color="auto" w:fill="auto"/>
            <w:noWrap/>
            <w:vAlign w:val="center"/>
            <w:hideMark/>
          </w:tcPr>
          <w:p w14:paraId="6F5CC645" w14:textId="77777777" w:rsidR="00915A3E" w:rsidRPr="00915A3E" w:rsidRDefault="00915A3E" w:rsidP="00915A3E">
            <w:pPr>
              <w:autoSpaceDE w:val="0"/>
              <w:autoSpaceDN w:val="0"/>
              <w:adjustRightInd w:val="0"/>
              <w:snapToGrid w:val="0"/>
              <w:spacing w:line="240" w:lineRule="auto"/>
              <w:jc w:val="center"/>
              <w:rPr>
                <w:rFonts w:eastAsia="Times New Roman"/>
                <w:noProof w:val="0"/>
                <w:lang w:eastAsia="en-AU"/>
              </w:rPr>
            </w:pPr>
            <w:r w:rsidRPr="00915A3E">
              <w:rPr>
                <w:rFonts w:eastAsia="Times New Roman"/>
                <w:noProof w:val="0"/>
                <w:lang w:eastAsia="en-AU"/>
              </w:rPr>
              <w:t>3.3</w:t>
            </w:r>
          </w:p>
        </w:tc>
      </w:tr>
    </w:tbl>
    <w:p w14:paraId="087E20B6" w14:textId="77777777" w:rsidR="00343B94" w:rsidRPr="00656DF4" w:rsidRDefault="00343B94" w:rsidP="00656DF4">
      <w:pPr>
        <w:pStyle w:val="MDPI23heading3"/>
        <w:spacing w:before="240"/>
      </w:pPr>
      <w:r w:rsidRPr="00656DF4">
        <w:t>Recovery, matrix effect, and extraction proficiency</w:t>
      </w:r>
    </w:p>
    <w:p w14:paraId="69B9A308" w14:textId="77777777" w:rsidR="00343B94" w:rsidRPr="00615B25" w:rsidRDefault="00343B94" w:rsidP="00656DF4">
      <w:pPr>
        <w:pStyle w:val="MDPI31text"/>
        <w:rPr>
          <w:b/>
        </w:rPr>
      </w:pPr>
      <w:r w:rsidRPr="00615B25">
        <w:t xml:space="preserve">The mean (%CV) recoveries of </w:t>
      </w:r>
      <w:proofErr w:type="spellStart"/>
      <w:r w:rsidRPr="00615B25">
        <w:t>tizoxanide</w:t>
      </w:r>
      <w:proofErr w:type="spellEnd"/>
      <w:r w:rsidRPr="00615B25">
        <w:t xml:space="preserve"> from plasma at LLOQ, LQC, MQC, and HQC were 88.8% (4.6), 87.1% (3.8), 110.1% (7.6) and 100.9 (2.3), respectively, and the overall mean (%CV) recovery was 96.7% (11.2). The plasma matrix effect was between 103.1% and 112.7% with a %CV less than ±15. Also, mean extraction proficiency was 104.4 with %CV less than 15% for all QC levels.</w:t>
      </w:r>
    </w:p>
    <w:p w14:paraId="11B05D99" w14:textId="77777777" w:rsidR="00343B94" w:rsidRPr="00656DF4" w:rsidRDefault="00343B94" w:rsidP="00656DF4">
      <w:pPr>
        <w:pStyle w:val="MDPI23heading3"/>
        <w:spacing w:before="240"/>
      </w:pPr>
      <w:r w:rsidRPr="00656DF4">
        <w:t xml:space="preserve">Pharmacokinetics of </w:t>
      </w:r>
      <w:proofErr w:type="spellStart"/>
      <w:r w:rsidRPr="00656DF4">
        <w:t>tizoxanide</w:t>
      </w:r>
      <w:proofErr w:type="spellEnd"/>
      <w:r w:rsidRPr="00656DF4">
        <w:t xml:space="preserve"> and the effects of co-administration of atazanavir/ritonavir</w:t>
      </w:r>
    </w:p>
    <w:p w14:paraId="36037B71" w14:textId="77777777" w:rsidR="00343B94" w:rsidRDefault="00343B94" w:rsidP="00656DF4">
      <w:pPr>
        <w:pStyle w:val="MDPI31text"/>
      </w:pPr>
      <w:r w:rsidRPr="00615B25">
        <w:t xml:space="preserve">In period 1 (nitazoxanide alone) and period 2 (nitazoxanide plus atazanavir/ritonavir), </w:t>
      </w:r>
      <w:proofErr w:type="spellStart"/>
      <w:r w:rsidRPr="00615B25">
        <w:t>tizoxanide</w:t>
      </w:r>
      <w:proofErr w:type="spellEnd"/>
      <w:r w:rsidRPr="00615B25">
        <w:t xml:space="preserve"> was undetectable in the plasma until after 30 min following drug </w:t>
      </w:r>
      <w:r w:rsidRPr="00615B25">
        <w:lastRenderedPageBreak/>
        <w:t xml:space="preserve">administration, and the median (range) </w:t>
      </w:r>
      <w:proofErr w:type="spellStart"/>
      <w:r w:rsidRPr="00615B25">
        <w:t>t</w:t>
      </w:r>
      <w:r w:rsidRPr="00615B25">
        <w:rPr>
          <w:vertAlign w:val="subscript"/>
        </w:rPr>
        <w:t>max</w:t>
      </w:r>
      <w:proofErr w:type="spellEnd"/>
      <w:r w:rsidRPr="00615B25">
        <w:t xml:space="preserve"> was consistently at 4 (2 – 6) </w:t>
      </w:r>
      <w:proofErr w:type="spellStart"/>
      <w:r w:rsidRPr="00615B25">
        <w:t>hrs</w:t>
      </w:r>
      <w:proofErr w:type="spellEnd"/>
      <w:r w:rsidRPr="00615B25">
        <w:t xml:space="preserve"> (Figure 1). Geometric mean </w:t>
      </w:r>
      <w:proofErr w:type="spellStart"/>
      <w:r w:rsidRPr="00615B25">
        <w:t>tizoxanide</w:t>
      </w:r>
      <w:proofErr w:type="spellEnd"/>
      <w:r w:rsidRPr="00615B25">
        <w:t xml:space="preserve"> AUC</w:t>
      </w:r>
      <w:r w:rsidRPr="00615B25">
        <w:rPr>
          <w:vertAlign w:val="subscript"/>
        </w:rPr>
        <w:t>0-12h</w:t>
      </w:r>
      <w:r w:rsidRPr="00615B25">
        <w:t xml:space="preserve"> was 124967.7 </w:t>
      </w:r>
      <w:proofErr w:type="spellStart"/>
      <w:r w:rsidRPr="00615B25">
        <w:t>ng.h</w:t>
      </w:r>
      <w:proofErr w:type="spellEnd"/>
      <w:r w:rsidRPr="00615B25">
        <w:t xml:space="preserve">/mL in period 1 compared with 233984.1 </w:t>
      </w:r>
      <w:proofErr w:type="spellStart"/>
      <w:r w:rsidRPr="00615B25">
        <w:t>ng.h</w:t>
      </w:r>
      <w:proofErr w:type="spellEnd"/>
      <w:r w:rsidRPr="00615B25">
        <w:t xml:space="preserve">/mL in period 2, representing GMR of 1.872 (Table 3). The </w:t>
      </w:r>
      <w:proofErr w:type="spellStart"/>
      <w:r w:rsidRPr="00615B25">
        <w:t>C</w:t>
      </w:r>
      <w:r w:rsidRPr="00615B25">
        <w:rPr>
          <w:vertAlign w:val="subscript"/>
        </w:rPr>
        <w:t>max</w:t>
      </w:r>
      <w:proofErr w:type="spellEnd"/>
      <w:r w:rsidRPr="00615B25">
        <w:t xml:space="preserve"> was 4375.7 ng/mL for period 1 compared with 8882.1 ng/mL for period 2 (GMR: 2.029), while </w:t>
      </w:r>
      <w:bookmarkStart w:id="1" w:name="_Hlk143109460"/>
      <w:r w:rsidRPr="00615B25">
        <w:t>C</w:t>
      </w:r>
      <w:bookmarkEnd w:id="1"/>
      <w:r w:rsidRPr="00615B25">
        <w:rPr>
          <w:vertAlign w:val="subscript"/>
        </w:rPr>
        <w:t>12</w:t>
      </w:r>
      <w:r w:rsidRPr="00615B25">
        <w:t xml:space="preserve"> was 553.8 ng/mL period 1 compared with 1740.7 ng/mL for period 2 (GMR: 3.143). The values obtained for the parameters were outside the 0.80-1.25 range indicating clinical significance.</w:t>
      </w:r>
      <w:r w:rsidRPr="00615B25" w:rsidDel="001D12A6">
        <w:t xml:space="preserve"> </w:t>
      </w:r>
      <w:r w:rsidRPr="00615B25">
        <w:t>Similarly, PK parameters obtained from DBS-derived plasma concentrations showed increased exposure from period 1 to period 2, but the folds increase were more than what were observed in plasma (Table 4 and Figure 4).</w:t>
      </w:r>
    </w:p>
    <w:p w14:paraId="43946D7E" w14:textId="77777777" w:rsidR="007C60BB" w:rsidRPr="00615B25" w:rsidRDefault="007C60BB" w:rsidP="007C60BB">
      <w:pPr>
        <w:pStyle w:val="MDPI52figure"/>
        <w:rPr>
          <w:rFonts w:asciiTheme="minorHAnsi" w:hAnsiTheme="minorHAnsi" w:cstheme="minorHAnsi"/>
        </w:rPr>
      </w:pPr>
      <w:r w:rsidRPr="00615B25">
        <w:drawing>
          <wp:inline distT="0" distB="0" distL="0" distR="0" wp14:anchorId="20DD6ED1" wp14:editId="69F0FC73">
            <wp:extent cx="6315075" cy="4124325"/>
            <wp:effectExtent l="0" t="0" r="9525" b="9525"/>
            <wp:docPr id="3" name="Picture 3" descr="A graph showing the amount of tizoxamide in a pati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showing the amount of tizoxamide in a patien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5075" cy="4124325"/>
                    </a:xfrm>
                    <a:prstGeom prst="rect">
                      <a:avLst/>
                    </a:prstGeom>
                    <a:noFill/>
                    <a:ln>
                      <a:noFill/>
                    </a:ln>
                  </pic:spPr>
                </pic:pic>
              </a:graphicData>
            </a:graphic>
          </wp:inline>
        </w:drawing>
      </w:r>
    </w:p>
    <w:p w14:paraId="52A41C9B" w14:textId="5D11AE47" w:rsidR="007C60BB" w:rsidRDefault="007C60BB" w:rsidP="007C60BB">
      <w:pPr>
        <w:pStyle w:val="MDPI51figurecaption"/>
        <w:jc w:val="both"/>
        <w:rPr>
          <w:b/>
        </w:rPr>
      </w:pPr>
      <w:r w:rsidRPr="007C60BB">
        <w:rPr>
          <w:b/>
        </w:rPr>
        <w:t xml:space="preserve"> Figure 1: Plasma concentration-time curve of </w:t>
      </w:r>
      <w:proofErr w:type="spellStart"/>
      <w:r w:rsidRPr="007C60BB">
        <w:rPr>
          <w:b/>
        </w:rPr>
        <w:t>tizoxanide</w:t>
      </w:r>
      <w:proofErr w:type="spellEnd"/>
      <w:r w:rsidRPr="007C60BB">
        <w:rPr>
          <w:b/>
        </w:rPr>
        <w:t xml:space="preserve"> alone and with atazanavir/ritonavir (ATZ/r); data is presented here as mean</w:t>
      </w:r>
      <w:r w:rsidRPr="007C60BB">
        <w:rPr>
          <w:b/>
        </w:rPr>
        <w:t>.</w:t>
      </w:r>
    </w:p>
    <w:p w14:paraId="3B28248A" w14:textId="77777777" w:rsidR="00915A3E" w:rsidRDefault="00915A3E" w:rsidP="00915A3E">
      <w:pPr>
        <w:pStyle w:val="EndNoteBibliography"/>
        <w:adjustRightInd w:val="0"/>
        <w:snapToGrid w:val="0"/>
        <w:ind w:left="720" w:hanging="720"/>
        <w:rPr>
          <w:noProof w:val="0"/>
        </w:rPr>
      </w:pPr>
    </w:p>
    <w:p w14:paraId="0E0E947B" w14:textId="77777777" w:rsidR="00915A3E" w:rsidRPr="00615B25" w:rsidRDefault="00915A3E" w:rsidP="00915A3E">
      <w:pPr>
        <w:pStyle w:val="MDPI52figure"/>
        <w:ind w:left="2608"/>
        <w:jc w:val="left"/>
        <w:rPr>
          <w:rFonts w:asciiTheme="minorHAnsi" w:hAnsiTheme="minorHAnsi" w:cstheme="minorHAnsi"/>
        </w:rPr>
      </w:pPr>
      <w:bookmarkStart w:id="2" w:name="_Hlk146132808"/>
      <w:r w:rsidRPr="00615B25">
        <w:lastRenderedPageBreak/>
        <w:drawing>
          <wp:inline distT="0" distB="0" distL="0" distR="0" wp14:anchorId="50B97B50" wp14:editId="76BC7B2F">
            <wp:extent cx="4352925" cy="2977547"/>
            <wp:effectExtent l="0" t="0" r="0" b="0"/>
            <wp:docPr id="10" name="Picture 10" descr="A graph of a number of different types of drug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of a number of different types of drugs&#10;&#10;Description automatically generated with medium confidence"/>
                    <pic:cNvPicPr/>
                  </pic:nvPicPr>
                  <pic:blipFill>
                    <a:blip r:embed="rId9"/>
                    <a:stretch>
                      <a:fillRect/>
                    </a:stretch>
                  </pic:blipFill>
                  <pic:spPr>
                    <a:xfrm>
                      <a:off x="0" y="0"/>
                      <a:ext cx="4364599" cy="2985532"/>
                    </a:xfrm>
                    <a:prstGeom prst="rect">
                      <a:avLst/>
                    </a:prstGeom>
                  </pic:spPr>
                </pic:pic>
              </a:graphicData>
            </a:graphic>
          </wp:inline>
        </w:drawing>
      </w:r>
    </w:p>
    <w:p w14:paraId="6062FE0F" w14:textId="4A3F63FD" w:rsidR="00915A3E" w:rsidRDefault="00915A3E" w:rsidP="00915A3E">
      <w:pPr>
        <w:pStyle w:val="MDPI51figurecaption"/>
        <w:jc w:val="both"/>
      </w:pPr>
      <w:r w:rsidRPr="00915A3E">
        <w:rPr>
          <w:b/>
        </w:rPr>
        <w:t xml:space="preserve">Figure 4. </w:t>
      </w:r>
      <w:r w:rsidRPr="00615B25">
        <w:t xml:space="preserve">DBS-derived plasma concentration-time curve of </w:t>
      </w:r>
      <w:proofErr w:type="spellStart"/>
      <w:r w:rsidRPr="00615B25">
        <w:t>tizoxanide</w:t>
      </w:r>
      <w:proofErr w:type="spellEnd"/>
      <w:r w:rsidRPr="00615B25">
        <w:t xml:space="preserve"> alone and with atazanavir/ritonavir (ATZ/r); data is presented here as mean (95% CI)</w:t>
      </w:r>
      <w:r>
        <w:t>.</w:t>
      </w:r>
    </w:p>
    <w:p w14:paraId="62991C33" w14:textId="085ED7D7" w:rsidR="00915A3E" w:rsidRPr="00615B25" w:rsidRDefault="00915A3E" w:rsidP="00915A3E">
      <w:pPr>
        <w:pStyle w:val="MDPI41tablecaption"/>
      </w:pPr>
      <w:r w:rsidRPr="00915A3E">
        <w:rPr>
          <w:b/>
        </w:rPr>
        <w:t xml:space="preserve">Table 3. </w:t>
      </w:r>
      <w:r w:rsidRPr="00615B25">
        <w:t xml:space="preserve">Pharmacokinetic parameters of plasma </w:t>
      </w:r>
      <w:proofErr w:type="spellStart"/>
      <w:r w:rsidRPr="00615B25">
        <w:t>tizoxanide</w:t>
      </w:r>
      <w:proofErr w:type="spellEnd"/>
      <w:r w:rsidRPr="00615B25">
        <w:t xml:space="preserve"> with and without atazanavir/ritonavir</w:t>
      </w:r>
      <w:r>
        <w:t>.</w:t>
      </w:r>
    </w:p>
    <w:tbl>
      <w:tblPr>
        <w:tblStyle w:val="TableGrid"/>
        <w:tblW w:w="104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81"/>
        <w:gridCol w:w="1603"/>
        <w:gridCol w:w="1544"/>
        <w:gridCol w:w="208"/>
        <w:gridCol w:w="1495"/>
        <w:gridCol w:w="1392"/>
        <w:gridCol w:w="1942"/>
      </w:tblGrid>
      <w:tr w:rsidR="00915A3E" w:rsidRPr="00915A3E" w14:paraId="093C5A2D" w14:textId="77777777" w:rsidTr="00915A3E">
        <w:trPr>
          <w:jc w:val="center"/>
        </w:trPr>
        <w:tc>
          <w:tcPr>
            <w:tcW w:w="2829" w:type="dxa"/>
            <w:vMerge w:val="restart"/>
            <w:tcBorders>
              <w:top w:val="single" w:sz="8" w:space="0" w:color="auto"/>
            </w:tcBorders>
            <w:shd w:val="clear" w:color="auto" w:fill="auto"/>
            <w:vAlign w:val="center"/>
          </w:tcPr>
          <w:p w14:paraId="26DBB17D"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b/>
                <w:noProof w:val="0"/>
              </w:rPr>
            </w:pPr>
            <w:bookmarkStart w:id="3" w:name="_Hlk145189963"/>
            <w:r w:rsidRPr="00915A3E">
              <w:rPr>
                <w:rFonts w:asciiTheme="minorHAnsi" w:hAnsiTheme="minorHAnsi" w:cstheme="minorHAnsi"/>
                <w:b/>
                <w:noProof w:val="0"/>
              </w:rPr>
              <w:t>Pharmacokinetic parameters</w:t>
            </w:r>
          </w:p>
          <w:p w14:paraId="5534BD89"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b/>
                <w:noProof w:val="0"/>
              </w:rPr>
            </w:pPr>
            <w:r w:rsidRPr="00915A3E">
              <w:rPr>
                <w:rFonts w:asciiTheme="minorHAnsi" w:hAnsiTheme="minorHAnsi" w:cstheme="minorHAnsi"/>
                <w:b/>
                <w:noProof w:val="0"/>
              </w:rPr>
              <w:t>(n = 18)</w:t>
            </w:r>
          </w:p>
        </w:tc>
        <w:tc>
          <w:tcPr>
            <w:tcW w:w="3897" w:type="dxa"/>
            <w:gridSpan w:val="2"/>
            <w:tcBorders>
              <w:top w:val="single" w:sz="8" w:space="0" w:color="auto"/>
            </w:tcBorders>
            <w:shd w:val="clear" w:color="auto" w:fill="auto"/>
            <w:vAlign w:val="center"/>
          </w:tcPr>
          <w:p w14:paraId="6358024A"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NTZ alone</w:t>
            </w:r>
          </w:p>
        </w:tc>
        <w:tc>
          <w:tcPr>
            <w:tcW w:w="253" w:type="dxa"/>
            <w:tcBorders>
              <w:top w:val="single" w:sz="8" w:space="0" w:color="auto"/>
            </w:tcBorders>
            <w:shd w:val="clear" w:color="auto" w:fill="auto"/>
            <w:vAlign w:val="center"/>
          </w:tcPr>
          <w:p w14:paraId="425CC2B3"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3575" w:type="dxa"/>
            <w:gridSpan w:val="2"/>
            <w:tcBorders>
              <w:top w:val="single" w:sz="8" w:space="0" w:color="auto"/>
            </w:tcBorders>
            <w:shd w:val="clear" w:color="auto" w:fill="auto"/>
            <w:vAlign w:val="center"/>
          </w:tcPr>
          <w:p w14:paraId="7BA6237E"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NTZ plus ATZ/r</w:t>
            </w:r>
          </w:p>
        </w:tc>
        <w:tc>
          <w:tcPr>
            <w:tcW w:w="2406" w:type="dxa"/>
            <w:vMerge w:val="restart"/>
            <w:tcBorders>
              <w:top w:val="single" w:sz="8" w:space="0" w:color="auto"/>
            </w:tcBorders>
            <w:shd w:val="clear" w:color="auto" w:fill="auto"/>
            <w:vAlign w:val="center"/>
          </w:tcPr>
          <w:p w14:paraId="2FAC8A24"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GMR (90% CI)</w:t>
            </w:r>
          </w:p>
        </w:tc>
      </w:tr>
      <w:tr w:rsidR="00915A3E" w:rsidRPr="00915A3E" w14:paraId="13D319CD" w14:textId="77777777" w:rsidTr="00915A3E">
        <w:trPr>
          <w:jc w:val="center"/>
        </w:trPr>
        <w:tc>
          <w:tcPr>
            <w:tcW w:w="2829" w:type="dxa"/>
            <w:vMerge/>
            <w:tcBorders>
              <w:bottom w:val="single" w:sz="4" w:space="0" w:color="auto"/>
            </w:tcBorders>
            <w:shd w:val="clear" w:color="auto" w:fill="auto"/>
            <w:vAlign w:val="center"/>
          </w:tcPr>
          <w:p w14:paraId="6B5C34AE"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b/>
                <w:noProof w:val="0"/>
              </w:rPr>
            </w:pPr>
          </w:p>
        </w:tc>
        <w:tc>
          <w:tcPr>
            <w:tcW w:w="1985" w:type="dxa"/>
            <w:tcBorders>
              <w:top w:val="single" w:sz="4" w:space="0" w:color="auto"/>
              <w:bottom w:val="single" w:sz="4" w:space="0" w:color="auto"/>
            </w:tcBorders>
            <w:shd w:val="clear" w:color="auto" w:fill="auto"/>
            <w:vAlign w:val="center"/>
          </w:tcPr>
          <w:p w14:paraId="4B5DEA3A"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Mean (%CV)</w:t>
            </w:r>
          </w:p>
        </w:tc>
        <w:tc>
          <w:tcPr>
            <w:tcW w:w="1912" w:type="dxa"/>
            <w:tcBorders>
              <w:top w:val="single" w:sz="4" w:space="0" w:color="auto"/>
              <w:bottom w:val="single" w:sz="4" w:space="0" w:color="auto"/>
            </w:tcBorders>
            <w:shd w:val="clear" w:color="auto" w:fill="auto"/>
            <w:vAlign w:val="center"/>
          </w:tcPr>
          <w:p w14:paraId="6CEF8603"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GM (%CV)</w:t>
            </w:r>
          </w:p>
        </w:tc>
        <w:tc>
          <w:tcPr>
            <w:tcW w:w="253" w:type="dxa"/>
            <w:tcBorders>
              <w:bottom w:val="single" w:sz="4" w:space="0" w:color="auto"/>
            </w:tcBorders>
            <w:shd w:val="clear" w:color="auto" w:fill="auto"/>
            <w:vAlign w:val="center"/>
          </w:tcPr>
          <w:p w14:paraId="3BF52437"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1851" w:type="dxa"/>
            <w:tcBorders>
              <w:top w:val="single" w:sz="4" w:space="0" w:color="auto"/>
              <w:bottom w:val="single" w:sz="4" w:space="0" w:color="auto"/>
            </w:tcBorders>
            <w:shd w:val="clear" w:color="auto" w:fill="auto"/>
            <w:vAlign w:val="center"/>
          </w:tcPr>
          <w:p w14:paraId="467B2706"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Mean (%CV)</w:t>
            </w:r>
          </w:p>
        </w:tc>
        <w:tc>
          <w:tcPr>
            <w:tcW w:w="1724" w:type="dxa"/>
            <w:tcBorders>
              <w:top w:val="single" w:sz="4" w:space="0" w:color="auto"/>
              <w:bottom w:val="single" w:sz="4" w:space="0" w:color="auto"/>
            </w:tcBorders>
            <w:shd w:val="clear" w:color="auto" w:fill="auto"/>
            <w:vAlign w:val="center"/>
          </w:tcPr>
          <w:p w14:paraId="7D94F13C"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GM (%CV)</w:t>
            </w:r>
          </w:p>
        </w:tc>
        <w:tc>
          <w:tcPr>
            <w:tcW w:w="2406" w:type="dxa"/>
            <w:vMerge/>
            <w:tcBorders>
              <w:bottom w:val="single" w:sz="4" w:space="0" w:color="auto"/>
            </w:tcBorders>
            <w:shd w:val="clear" w:color="auto" w:fill="auto"/>
            <w:vAlign w:val="center"/>
          </w:tcPr>
          <w:p w14:paraId="55F785C1"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r>
      <w:tr w:rsidR="00915A3E" w:rsidRPr="00915A3E" w14:paraId="13432984" w14:textId="77777777" w:rsidTr="00915A3E">
        <w:trPr>
          <w:jc w:val="center"/>
        </w:trPr>
        <w:tc>
          <w:tcPr>
            <w:tcW w:w="2829" w:type="dxa"/>
            <w:tcBorders>
              <w:top w:val="single" w:sz="4" w:space="0" w:color="auto"/>
              <w:bottom w:val="single" w:sz="4" w:space="0" w:color="auto"/>
            </w:tcBorders>
            <w:shd w:val="clear" w:color="auto" w:fill="auto"/>
            <w:vAlign w:val="center"/>
          </w:tcPr>
          <w:p w14:paraId="24919B66"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b/>
                <w:noProof w:val="0"/>
              </w:rPr>
            </w:pPr>
            <w:r w:rsidRPr="00915A3E">
              <w:rPr>
                <w:rFonts w:asciiTheme="minorHAnsi" w:hAnsiTheme="minorHAnsi" w:cstheme="minorHAnsi"/>
                <w:b/>
                <w:noProof w:val="0"/>
              </w:rPr>
              <w:t>AUC</w:t>
            </w:r>
            <w:r w:rsidRPr="00915A3E">
              <w:rPr>
                <w:rFonts w:asciiTheme="minorHAnsi" w:hAnsiTheme="minorHAnsi" w:cstheme="minorHAnsi"/>
                <w:b/>
                <w:noProof w:val="0"/>
                <w:vertAlign w:val="subscript"/>
              </w:rPr>
              <w:t xml:space="preserve">0-12h </w:t>
            </w:r>
            <w:r w:rsidRPr="00915A3E">
              <w:rPr>
                <w:rFonts w:asciiTheme="minorHAnsi" w:hAnsiTheme="minorHAnsi" w:cstheme="minorHAnsi"/>
                <w:b/>
                <w:noProof w:val="0"/>
              </w:rPr>
              <w:t>(</w:t>
            </w:r>
            <w:proofErr w:type="spellStart"/>
            <w:r w:rsidRPr="00915A3E">
              <w:rPr>
                <w:rFonts w:asciiTheme="minorHAnsi" w:hAnsiTheme="minorHAnsi" w:cstheme="minorHAnsi"/>
                <w:b/>
                <w:noProof w:val="0"/>
              </w:rPr>
              <w:t>ng.h</w:t>
            </w:r>
            <w:proofErr w:type="spellEnd"/>
            <w:r w:rsidRPr="00915A3E">
              <w:rPr>
                <w:rFonts w:asciiTheme="minorHAnsi" w:hAnsiTheme="minorHAnsi" w:cstheme="minorHAnsi"/>
                <w:b/>
                <w:noProof w:val="0"/>
              </w:rPr>
              <w:t>/mL)</w:t>
            </w:r>
          </w:p>
        </w:tc>
        <w:tc>
          <w:tcPr>
            <w:tcW w:w="1985" w:type="dxa"/>
            <w:tcBorders>
              <w:top w:val="single" w:sz="4" w:space="0" w:color="auto"/>
            </w:tcBorders>
            <w:shd w:val="clear" w:color="auto" w:fill="auto"/>
            <w:vAlign w:val="center"/>
          </w:tcPr>
          <w:p w14:paraId="01036E4D"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171135.9 (111.4)</w:t>
            </w:r>
          </w:p>
        </w:tc>
        <w:tc>
          <w:tcPr>
            <w:tcW w:w="1912" w:type="dxa"/>
            <w:tcBorders>
              <w:top w:val="single" w:sz="4" w:space="0" w:color="auto"/>
            </w:tcBorders>
            <w:shd w:val="clear" w:color="auto" w:fill="auto"/>
            <w:vAlign w:val="center"/>
          </w:tcPr>
          <w:p w14:paraId="7BAB3611"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124967.7 (6.4)</w:t>
            </w:r>
          </w:p>
        </w:tc>
        <w:tc>
          <w:tcPr>
            <w:tcW w:w="253" w:type="dxa"/>
            <w:tcBorders>
              <w:top w:val="single" w:sz="4" w:space="0" w:color="auto"/>
            </w:tcBorders>
            <w:shd w:val="clear" w:color="auto" w:fill="auto"/>
            <w:vAlign w:val="center"/>
          </w:tcPr>
          <w:p w14:paraId="72462FEC"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1851" w:type="dxa"/>
            <w:tcBorders>
              <w:top w:val="single" w:sz="4" w:space="0" w:color="auto"/>
            </w:tcBorders>
            <w:shd w:val="clear" w:color="auto" w:fill="auto"/>
            <w:vAlign w:val="center"/>
          </w:tcPr>
          <w:p w14:paraId="09A95EF5"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289297.9 (58.9)</w:t>
            </w:r>
          </w:p>
        </w:tc>
        <w:tc>
          <w:tcPr>
            <w:tcW w:w="1724" w:type="dxa"/>
            <w:tcBorders>
              <w:top w:val="single" w:sz="4" w:space="0" w:color="auto"/>
            </w:tcBorders>
            <w:shd w:val="clear" w:color="auto" w:fill="auto"/>
            <w:vAlign w:val="center"/>
          </w:tcPr>
          <w:p w14:paraId="41AC97F9"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233984.1 (6.1)</w:t>
            </w:r>
          </w:p>
        </w:tc>
        <w:tc>
          <w:tcPr>
            <w:tcW w:w="2406" w:type="dxa"/>
            <w:tcBorders>
              <w:top w:val="single" w:sz="4" w:space="0" w:color="auto"/>
            </w:tcBorders>
            <w:shd w:val="clear" w:color="auto" w:fill="auto"/>
            <w:vAlign w:val="center"/>
          </w:tcPr>
          <w:p w14:paraId="154F036D"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1.872 (1.870 – 1.875)</w:t>
            </w:r>
          </w:p>
        </w:tc>
      </w:tr>
      <w:tr w:rsidR="00915A3E" w:rsidRPr="00915A3E" w14:paraId="1FA6130D" w14:textId="77777777" w:rsidTr="00915A3E">
        <w:trPr>
          <w:jc w:val="center"/>
        </w:trPr>
        <w:tc>
          <w:tcPr>
            <w:tcW w:w="2829" w:type="dxa"/>
            <w:tcBorders>
              <w:top w:val="single" w:sz="4" w:space="0" w:color="auto"/>
            </w:tcBorders>
            <w:shd w:val="clear" w:color="auto" w:fill="auto"/>
            <w:vAlign w:val="center"/>
          </w:tcPr>
          <w:p w14:paraId="129C7A48"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roofErr w:type="spellStart"/>
            <w:r w:rsidRPr="00915A3E">
              <w:rPr>
                <w:rFonts w:asciiTheme="minorHAnsi" w:hAnsiTheme="minorHAnsi" w:cstheme="minorHAnsi"/>
                <w:noProof w:val="0"/>
              </w:rPr>
              <w:t>C</w:t>
            </w:r>
            <w:r w:rsidRPr="00915A3E">
              <w:rPr>
                <w:rFonts w:asciiTheme="minorHAnsi" w:hAnsiTheme="minorHAnsi" w:cstheme="minorHAnsi"/>
                <w:noProof w:val="0"/>
                <w:vertAlign w:val="subscript"/>
              </w:rPr>
              <w:t>max</w:t>
            </w:r>
            <w:proofErr w:type="spellEnd"/>
            <w:r w:rsidRPr="00915A3E">
              <w:rPr>
                <w:rFonts w:asciiTheme="minorHAnsi" w:hAnsiTheme="minorHAnsi" w:cstheme="minorHAnsi"/>
                <w:noProof w:val="0"/>
                <w:vertAlign w:val="subscript"/>
              </w:rPr>
              <w:t xml:space="preserve"> </w:t>
            </w:r>
            <w:r w:rsidRPr="00915A3E">
              <w:rPr>
                <w:rFonts w:asciiTheme="minorHAnsi" w:hAnsiTheme="minorHAnsi" w:cstheme="minorHAnsi"/>
                <w:noProof w:val="0"/>
              </w:rPr>
              <w:t>(ng/mL)</w:t>
            </w:r>
          </w:p>
        </w:tc>
        <w:tc>
          <w:tcPr>
            <w:tcW w:w="1985" w:type="dxa"/>
            <w:shd w:val="clear" w:color="auto" w:fill="auto"/>
            <w:vAlign w:val="center"/>
          </w:tcPr>
          <w:p w14:paraId="180BE105"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5304.4 (64.1)</w:t>
            </w:r>
          </w:p>
        </w:tc>
        <w:tc>
          <w:tcPr>
            <w:tcW w:w="1912" w:type="dxa"/>
            <w:shd w:val="clear" w:color="auto" w:fill="auto"/>
            <w:vAlign w:val="center"/>
          </w:tcPr>
          <w:p w14:paraId="1AC42D86"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4375.7 (7.8)</w:t>
            </w:r>
          </w:p>
        </w:tc>
        <w:tc>
          <w:tcPr>
            <w:tcW w:w="253" w:type="dxa"/>
            <w:shd w:val="clear" w:color="auto" w:fill="auto"/>
            <w:vAlign w:val="center"/>
          </w:tcPr>
          <w:p w14:paraId="731323B3"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1851" w:type="dxa"/>
            <w:shd w:val="clear" w:color="auto" w:fill="auto"/>
            <w:vAlign w:val="center"/>
          </w:tcPr>
          <w:p w14:paraId="404D88CE"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10495.4 (47.7)</w:t>
            </w:r>
          </w:p>
        </w:tc>
        <w:tc>
          <w:tcPr>
            <w:tcW w:w="1724" w:type="dxa"/>
            <w:shd w:val="clear" w:color="auto" w:fill="auto"/>
            <w:vAlign w:val="center"/>
          </w:tcPr>
          <w:p w14:paraId="79862D8F"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8882.1 (7.8)</w:t>
            </w:r>
          </w:p>
        </w:tc>
        <w:tc>
          <w:tcPr>
            <w:tcW w:w="2406" w:type="dxa"/>
            <w:shd w:val="clear" w:color="auto" w:fill="auto"/>
            <w:vAlign w:val="center"/>
          </w:tcPr>
          <w:p w14:paraId="2B8EC847"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2.029 (1.990 – 2.070)</w:t>
            </w:r>
          </w:p>
        </w:tc>
      </w:tr>
      <w:tr w:rsidR="00915A3E" w:rsidRPr="00915A3E" w14:paraId="1E9C8173" w14:textId="77777777" w:rsidTr="00915A3E">
        <w:trPr>
          <w:jc w:val="center"/>
        </w:trPr>
        <w:tc>
          <w:tcPr>
            <w:tcW w:w="2829" w:type="dxa"/>
            <w:tcBorders>
              <w:bottom w:val="single" w:sz="8" w:space="0" w:color="auto"/>
            </w:tcBorders>
            <w:shd w:val="clear" w:color="auto" w:fill="auto"/>
            <w:vAlign w:val="center"/>
          </w:tcPr>
          <w:p w14:paraId="4135A999"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roofErr w:type="spellStart"/>
            <w:r w:rsidRPr="00915A3E">
              <w:rPr>
                <w:rFonts w:asciiTheme="minorHAnsi" w:hAnsiTheme="minorHAnsi" w:cstheme="minorHAnsi"/>
                <w:noProof w:val="0"/>
              </w:rPr>
              <w:t>Cτ</w:t>
            </w:r>
            <w:proofErr w:type="spellEnd"/>
            <w:r w:rsidRPr="00915A3E">
              <w:rPr>
                <w:rFonts w:asciiTheme="minorHAnsi" w:hAnsiTheme="minorHAnsi" w:cstheme="minorHAnsi"/>
                <w:noProof w:val="0"/>
              </w:rPr>
              <w:t xml:space="preserve"> (ng/m L)</w:t>
            </w:r>
          </w:p>
        </w:tc>
        <w:tc>
          <w:tcPr>
            <w:tcW w:w="1985" w:type="dxa"/>
            <w:tcBorders>
              <w:bottom w:val="single" w:sz="8" w:space="0" w:color="auto"/>
            </w:tcBorders>
            <w:shd w:val="clear" w:color="auto" w:fill="auto"/>
            <w:vAlign w:val="center"/>
          </w:tcPr>
          <w:p w14:paraId="42B81E2F"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1898.2 (262.2)</w:t>
            </w:r>
          </w:p>
        </w:tc>
        <w:tc>
          <w:tcPr>
            <w:tcW w:w="1912" w:type="dxa"/>
            <w:tcBorders>
              <w:bottom w:val="single" w:sz="8" w:space="0" w:color="auto"/>
            </w:tcBorders>
            <w:shd w:val="clear" w:color="auto" w:fill="auto"/>
            <w:vAlign w:val="center"/>
          </w:tcPr>
          <w:p w14:paraId="2C6AD57B"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553.8 (22.9)</w:t>
            </w:r>
          </w:p>
        </w:tc>
        <w:tc>
          <w:tcPr>
            <w:tcW w:w="253" w:type="dxa"/>
            <w:tcBorders>
              <w:bottom w:val="single" w:sz="8" w:space="0" w:color="auto"/>
            </w:tcBorders>
            <w:shd w:val="clear" w:color="auto" w:fill="auto"/>
            <w:vAlign w:val="center"/>
          </w:tcPr>
          <w:p w14:paraId="198C9273"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1851" w:type="dxa"/>
            <w:tcBorders>
              <w:bottom w:val="single" w:sz="8" w:space="0" w:color="auto"/>
            </w:tcBorders>
            <w:shd w:val="clear" w:color="auto" w:fill="auto"/>
            <w:vAlign w:val="center"/>
          </w:tcPr>
          <w:p w14:paraId="40DAF32F"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3082.8 (74.7)</w:t>
            </w:r>
          </w:p>
        </w:tc>
        <w:tc>
          <w:tcPr>
            <w:tcW w:w="1724" w:type="dxa"/>
            <w:tcBorders>
              <w:bottom w:val="single" w:sz="8" w:space="0" w:color="auto"/>
            </w:tcBorders>
            <w:shd w:val="clear" w:color="auto" w:fill="auto"/>
            <w:vAlign w:val="center"/>
          </w:tcPr>
          <w:p w14:paraId="2AB02EC3"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1740.7 (29.8)</w:t>
            </w:r>
          </w:p>
        </w:tc>
        <w:tc>
          <w:tcPr>
            <w:tcW w:w="2406" w:type="dxa"/>
            <w:tcBorders>
              <w:bottom w:val="single" w:sz="8" w:space="0" w:color="auto"/>
            </w:tcBorders>
            <w:shd w:val="clear" w:color="auto" w:fill="auto"/>
            <w:vAlign w:val="center"/>
          </w:tcPr>
          <w:p w14:paraId="43FEBCC4"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3.143 (2.268 – 4.352)</w:t>
            </w:r>
          </w:p>
        </w:tc>
      </w:tr>
    </w:tbl>
    <w:bookmarkEnd w:id="3"/>
    <w:p w14:paraId="751ECEDF" w14:textId="77777777" w:rsidR="00915A3E" w:rsidRPr="00615B25" w:rsidRDefault="00915A3E" w:rsidP="00915A3E">
      <w:pPr>
        <w:adjustRightInd w:val="0"/>
        <w:snapToGrid w:val="0"/>
        <w:spacing w:line="360" w:lineRule="auto"/>
        <w:rPr>
          <w:noProof w:val="0"/>
        </w:rPr>
      </w:pPr>
      <w:r w:rsidRPr="00615B25">
        <w:rPr>
          <w:rFonts w:asciiTheme="minorHAnsi" w:hAnsiTheme="minorHAnsi" w:cstheme="minorHAnsi"/>
          <w:noProof w:val="0"/>
        </w:rPr>
        <w:t xml:space="preserve">NTZ: Nitazoxanide; ATZ/r: Atazanavir/ritonavir; GM: Geometric mean; GMR: Geometric mean ratio (GM of NTZ plus </w:t>
      </w:r>
      <w:proofErr w:type="spellStart"/>
      <w:r w:rsidRPr="00615B25">
        <w:rPr>
          <w:rFonts w:asciiTheme="minorHAnsi" w:hAnsiTheme="minorHAnsi" w:cstheme="minorHAnsi"/>
          <w:noProof w:val="0"/>
        </w:rPr>
        <w:t>ATZr</w:t>
      </w:r>
      <w:proofErr w:type="spellEnd"/>
      <w:r w:rsidRPr="00615B25">
        <w:rPr>
          <w:rFonts w:asciiTheme="minorHAnsi" w:hAnsiTheme="minorHAnsi" w:cstheme="minorHAnsi"/>
          <w:noProof w:val="0"/>
        </w:rPr>
        <w:t>/GM of NTZ alone)</w:t>
      </w:r>
    </w:p>
    <w:p w14:paraId="14A7A01B" w14:textId="486301C2" w:rsidR="00915A3E" w:rsidRPr="00615B25" w:rsidRDefault="00915A3E" w:rsidP="00915A3E">
      <w:pPr>
        <w:pStyle w:val="MDPI41tablecaption"/>
        <w:jc w:val="both"/>
      </w:pPr>
      <w:r w:rsidRPr="00915A3E">
        <w:rPr>
          <w:b/>
        </w:rPr>
        <w:t xml:space="preserve">Table 4. </w:t>
      </w:r>
      <w:r w:rsidRPr="00615B25">
        <w:t xml:space="preserve">Pharmacokinetic parameters of DBS-derived plasma </w:t>
      </w:r>
      <w:proofErr w:type="spellStart"/>
      <w:r w:rsidRPr="00615B25">
        <w:t>tizoxanide</w:t>
      </w:r>
      <w:proofErr w:type="spellEnd"/>
      <w:r w:rsidRPr="00615B25">
        <w:t xml:space="preserve"> with and without atazanavir/ritonavir</w:t>
      </w:r>
      <w:r>
        <w:t>.</w:t>
      </w:r>
    </w:p>
    <w:tbl>
      <w:tblPr>
        <w:tblStyle w:val="TableGrid"/>
        <w:tblW w:w="104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81"/>
        <w:gridCol w:w="1603"/>
        <w:gridCol w:w="1544"/>
        <w:gridCol w:w="208"/>
        <w:gridCol w:w="1495"/>
        <w:gridCol w:w="1392"/>
        <w:gridCol w:w="1942"/>
      </w:tblGrid>
      <w:tr w:rsidR="00915A3E" w:rsidRPr="00915A3E" w14:paraId="213CABFC" w14:textId="77777777" w:rsidTr="00915A3E">
        <w:trPr>
          <w:jc w:val="center"/>
        </w:trPr>
        <w:tc>
          <w:tcPr>
            <w:tcW w:w="2829" w:type="dxa"/>
            <w:vMerge w:val="restart"/>
            <w:tcBorders>
              <w:top w:val="single" w:sz="8" w:space="0" w:color="auto"/>
            </w:tcBorders>
            <w:shd w:val="clear" w:color="auto" w:fill="auto"/>
            <w:vAlign w:val="center"/>
          </w:tcPr>
          <w:p w14:paraId="7DB5D6AA"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b/>
                <w:noProof w:val="0"/>
              </w:rPr>
            </w:pPr>
            <w:r w:rsidRPr="00915A3E">
              <w:rPr>
                <w:rFonts w:asciiTheme="minorHAnsi" w:hAnsiTheme="minorHAnsi" w:cstheme="minorHAnsi"/>
                <w:b/>
                <w:noProof w:val="0"/>
              </w:rPr>
              <w:t>Pharmacokinetic parameters</w:t>
            </w:r>
          </w:p>
          <w:p w14:paraId="43F93410"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b/>
                <w:noProof w:val="0"/>
              </w:rPr>
            </w:pPr>
            <w:r w:rsidRPr="00915A3E">
              <w:rPr>
                <w:rFonts w:asciiTheme="minorHAnsi" w:hAnsiTheme="minorHAnsi" w:cstheme="minorHAnsi"/>
                <w:b/>
                <w:noProof w:val="0"/>
              </w:rPr>
              <w:t>(n = 18)</w:t>
            </w:r>
          </w:p>
        </w:tc>
        <w:tc>
          <w:tcPr>
            <w:tcW w:w="3897" w:type="dxa"/>
            <w:gridSpan w:val="2"/>
            <w:tcBorders>
              <w:top w:val="single" w:sz="8" w:space="0" w:color="auto"/>
            </w:tcBorders>
            <w:shd w:val="clear" w:color="auto" w:fill="auto"/>
            <w:vAlign w:val="center"/>
          </w:tcPr>
          <w:p w14:paraId="4A4F30D7"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NTZ alone</w:t>
            </w:r>
          </w:p>
        </w:tc>
        <w:tc>
          <w:tcPr>
            <w:tcW w:w="253" w:type="dxa"/>
            <w:tcBorders>
              <w:top w:val="single" w:sz="8" w:space="0" w:color="auto"/>
            </w:tcBorders>
            <w:shd w:val="clear" w:color="auto" w:fill="auto"/>
            <w:vAlign w:val="center"/>
          </w:tcPr>
          <w:p w14:paraId="5B117894"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3575" w:type="dxa"/>
            <w:gridSpan w:val="2"/>
            <w:tcBorders>
              <w:top w:val="single" w:sz="8" w:space="0" w:color="auto"/>
            </w:tcBorders>
            <w:shd w:val="clear" w:color="auto" w:fill="auto"/>
            <w:vAlign w:val="center"/>
          </w:tcPr>
          <w:p w14:paraId="484BA2C0"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NTZ plus ATZ/r</w:t>
            </w:r>
          </w:p>
        </w:tc>
        <w:tc>
          <w:tcPr>
            <w:tcW w:w="2406" w:type="dxa"/>
            <w:vMerge w:val="restart"/>
            <w:tcBorders>
              <w:top w:val="single" w:sz="8" w:space="0" w:color="auto"/>
            </w:tcBorders>
            <w:shd w:val="clear" w:color="auto" w:fill="auto"/>
            <w:vAlign w:val="center"/>
          </w:tcPr>
          <w:p w14:paraId="18AF898D"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GMR [%, (90% CI)]</w:t>
            </w:r>
          </w:p>
        </w:tc>
      </w:tr>
      <w:tr w:rsidR="00915A3E" w:rsidRPr="00915A3E" w14:paraId="4B9C7CAB" w14:textId="77777777" w:rsidTr="00915A3E">
        <w:trPr>
          <w:jc w:val="center"/>
        </w:trPr>
        <w:tc>
          <w:tcPr>
            <w:tcW w:w="2829" w:type="dxa"/>
            <w:vMerge/>
            <w:tcBorders>
              <w:bottom w:val="single" w:sz="4" w:space="0" w:color="auto"/>
            </w:tcBorders>
            <w:shd w:val="clear" w:color="auto" w:fill="auto"/>
            <w:vAlign w:val="center"/>
          </w:tcPr>
          <w:p w14:paraId="2F9E9A25"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b/>
                <w:noProof w:val="0"/>
              </w:rPr>
            </w:pPr>
          </w:p>
        </w:tc>
        <w:tc>
          <w:tcPr>
            <w:tcW w:w="1985" w:type="dxa"/>
            <w:tcBorders>
              <w:top w:val="single" w:sz="4" w:space="0" w:color="auto"/>
              <w:bottom w:val="single" w:sz="4" w:space="0" w:color="auto"/>
            </w:tcBorders>
            <w:shd w:val="clear" w:color="auto" w:fill="auto"/>
            <w:vAlign w:val="center"/>
          </w:tcPr>
          <w:p w14:paraId="728C4EBC"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Mean (%CV)</w:t>
            </w:r>
          </w:p>
        </w:tc>
        <w:tc>
          <w:tcPr>
            <w:tcW w:w="1912" w:type="dxa"/>
            <w:tcBorders>
              <w:top w:val="single" w:sz="4" w:space="0" w:color="auto"/>
              <w:bottom w:val="single" w:sz="4" w:space="0" w:color="auto"/>
            </w:tcBorders>
            <w:shd w:val="clear" w:color="auto" w:fill="auto"/>
            <w:vAlign w:val="center"/>
          </w:tcPr>
          <w:p w14:paraId="0BB58593"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GM (%CV)</w:t>
            </w:r>
          </w:p>
        </w:tc>
        <w:tc>
          <w:tcPr>
            <w:tcW w:w="253" w:type="dxa"/>
            <w:tcBorders>
              <w:bottom w:val="single" w:sz="4" w:space="0" w:color="auto"/>
            </w:tcBorders>
            <w:shd w:val="clear" w:color="auto" w:fill="auto"/>
            <w:vAlign w:val="center"/>
          </w:tcPr>
          <w:p w14:paraId="4DD214DE"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1851" w:type="dxa"/>
            <w:tcBorders>
              <w:top w:val="single" w:sz="4" w:space="0" w:color="auto"/>
              <w:bottom w:val="single" w:sz="4" w:space="0" w:color="auto"/>
            </w:tcBorders>
            <w:shd w:val="clear" w:color="auto" w:fill="auto"/>
            <w:vAlign w:val="center"/>
          </w:tcPr>
          <w:p w14:paraId="0F7778E5"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Mean (%CV)</w:t>
            </w:r>
          </w:p>
        </w:tc>
        <w:tc>
          <w:tcPr>
            <w:tcW w:w="1724" w:type="dxa"/>
            <w:tcBorders>
              <w:top w:val="single" w:sz="4" w:space="0" w:color="auto"/>
              <w:bottom w:val="single" w:sz="4" w:space="0" w:color="auto"/>
            </w:tcBorders>
            <w:shd w:val="clear" w:color="auto" w:fill="auto"/>
            <w:vAlign w:val="center"/>
          </w:tcPr>
          <w:p w14:paraId="7565A069"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GM (%CV)</w:t>
            </w:r>
          </w:p>
        </w:tc>
        <w:tc>
          <w:tcPr>
            <w:tcW w:w="2406" w:type="dxa"/>
            <w:vMerge/>
            <w:tcBorders>
              <w:bottom w:val="single" w:sz="4" w:space="0" w:color="auto"/>
            </w:tcBorders>
            <w:shd w:val="clear" w:color="auto" w:fill="auto"/>
            <w:vAlign w:val="center"/>
          </w:tcPr>
          <w:p w14:paraId="56C7D753"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r>
      <w:tr w:rsidR="00915A3E" w:rsidRPr="00915A3E" w14:paraId="61964047" w14:textId="77777777" w:rsidTr="00915A3E">
        <w:trPr>
          <w:jc w:val="center"/>
        </w:trPr>
        <w:tc>
          <w:tcPr>
            <w:tcW w:w="2829" w:type="dxa"/>
            <w:tcBorders>
              <w:top w:val="single" w:sz="4" w:space="0" w:color="auto"/>
              <w:bottom w:val="single" w:sz="4" w:space="0" w:color="auto"/>
            </w:tcBorders>
            <w:shd w:val="clear" w:color="auto" w:fill="auto"/>
            <w:vAlign w:val="center"/>
          </w:tcPr>
          <w:p w14:paraId="4D678D14"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b/>
                <w:noProof w:val="0"/>
              </w:rPr>
            </w:pPr>
            <w:r w:rsidRPr="00915A3E">
              <w:rPr>
                <w:rFonts w:asciiTheme="minorHAnsi" w:hAnsiTheme="minorHAnsi" w:cstheme="minorHAnsi"/>
                <w:b/>
                <w:noProof w:val="0"/>
              </w:rPr>
              <w:t>AUC</w:t>
            </w:r>
            <w:r w:rsidRPr="00915A3E">
              <w:rPr>
                <w:rFonts w:asciiTheme="minorHAnsi" w:hAnsiTheme="minorHAnsi" w:cstheme="minorHAnsi"/>
                <w:b/>
                <w:noProof w:val="0"/>
                <w:vertAlign w:val="subscript"/>
              </w:rPr>
              <w:t xml:space="preserve">0-12h </w:t>
            </w:r>
            <w:r w:rsidRPr="00915A3E">
              <w:rPr>
                <w:rFonts w:asciiTheme="minorHAnsi" w:hAnsiTheme="minorHAnsi" w:cstheme="minorHAnsi"/>
                <w:b/>
                <w:noProof w:val="0"/>
              </w:rPr>
              <w:t>(</w:t>
            </w:r>
            <w:proofErr w:type="spellStart"/>
            <w:r w:rsidRPr="00915A3E">
              <w:rPr>
                <w:rFonts w:asciiTheme="minorHAnsi" w:hAnsiTheme="minorHAnsi" w:cstheme="minorHAnsi"/>
                <w:b/>
                <w:noProof w:val="0"/>
              </w:rPr>
              <w:t>ng.h</w:t>
            </w:r>
            <w:proofErr w:type="spellEnd"/>
            <w:r w:rsidRPr="00915A3E">
              <w:rPr>
                <w:rFonts w:asciiTheme="minorHAnsi" w:hAnsiTheme="minorHAnsi" w:cstheme="minorHAnsi"/>
                <w:b/>
                <w:noProof w:val="0"/>
              </w:rPr>
              <w:t>/mL)</w:t>
            </w:r>
          </w:p>
        </w:tc>
        <w:tc>
          <w:tcPr>
            <w:tcW w:w="1985" w:type="dxa"/>
            <w:tcBorders>
              <w:top w:val="single" w:sz="4" w:space="0" w:color="auto"/>
            </w:tcBorders>
            <w:shd w:val="clear" w:color="auto" w:fill="auto"/>
            <w:vAlign w:val="center"/>
          </w:tcPr>
          <w:p w14:paraId="189C13C1"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16168.4 (75.8)</w:t>
            </w:r>
          </w:p>
        </w:tc>
        <w:tc>
          <w:tcPr>
            <w:tcW w:w="1912" w:type="dxa"/>
            <w:tcBorders>
              <w:top w:val="single" w:sz="4" w:space="0" w:color="auto"/>
            </w:tcBorders>
            <w:shd w:val="clear" w:color="auto" w:fill="auto"/>
            <w:vAlign w:val="center"/>
          </w:tcPr>
          <w:p w14:paraId="36AEA4A3"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13646.2 (8.9)</w:t>
            </w:r>
          </w:p>
        </w:tc>
        <w:tc>
          <w:tcPr>
            <w:tcW w:w="253" w:type="dxa"/>
            <w:tcBorders>
              <w:top w:val="single" w:sz="4" w:space="0" w:color="auto"/>
            </w:tcBorders>
            <w:shd w:val="clear" w:color="auto" w:fill="auto"/>
            <w:vAlign w:val="center"/>
          </w:tcPr>
          <w:p w14:paraId="64EECCAA"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1851" w:type="dxa"/>
            <w:tcBorders>
              <w:top w:val="single" w:sz="4" w:space="0" w:color="auto"/>
            </w:tcBorders>
            <w:shd w:val="clear" w:color="auto" w:fill="auto"/>
            <w:vAlign w:val="center"/>
          </w:tcPr>
          <w:p w14:paraId="382E9297"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42403.0 (24.3)</w:t>
            </w:r>
          </w:p>
        </w:tc>
        <w:tc>
          <w:tcPr>
            <w:tcW w:w="1724" w:type="dxa"/>
            <w:tcBorders>
              <w:top w:val="single" w:sz="4" w:space="0" w:color="auto"/>
            </w:tcBorders>
            <w:shd w:val="clear" w:color="auto" w:fill="auto"/>
            <w:vAlign w:val="center"/>
          </w:tcPr>
          <w:p w14:paraId="6DBA75DB"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41772.6 (2.3)</w:t>
            </w:r>
          </w:p>
        </w:tc>
        <w:tc>
          <w:tcPr>
            <w:tcW w:w="2406" w:type="dxa"/>
            <w:tcBorders>
              <w:top w:val="single" w:sz="4" w:space="0" w:color="auto"/>
            </w:tcBorders>
            <w:shd w:val="clear" w:color="auto" w:fill="auto"/>
            <w:vAlign w:val="center"/>
          </w:tcPr>
          <w:p w14:paraId="25484BF2"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3.1 (1.5 – 6.2)</w:t>
            </w:r>
          </w:p>
        </w:tc>
      </w:tr>
      <w:tr w:rsidR="00915A3E" w:rsidRPr="00915A3E" w14:paraId="2011D6A1" w14:textId="77777777" w:rsidTr="00915A3E">
        <w:trPr>
          <w:jc w:val="center"/>
        </w:trPr>
        <w:tc>
          <w:tcPr>
            <w:tcW w:w="2829" w:type="dxa"/>
            <w:tcBorders>
              <w:top w:val="single" w:sz="4" w:space="0" w:color="auto"/>
            </w:tcBorders>
            <w:shd w:val="clear" w:color="auto" w:fill="auto"/>
            <w:vAlign w:val="center"/>
          </w:tcPr>
          <w:p w14:paraId="5C2CDAED"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roofErr w:type="spellStart"/>
            <w:r w:rsidRPr="00915A3E">
              <w:rPr>
                <w:rFonts w:asciiTheme="minorHAnsi" w:hAnsiTheme="minorHAnsi" w:cstheme="minorHAnsi"/>
                <w:noProof w:val="0"/>
              </w:rPr>
              <w:t>C</w:t>
            </w:r>
            <w:r w:rsidRPr="00915A3E">
              <w:rPr>
                <w:rFonts w:asciiTheme="minorHAnsi" w:hAnsiTheme="minorHAnsi" w:cstheme="minorHAnsi"/>
                <w:noProof w:val="0"/>
                <w:vertAlign w:val="subscript"/>
              </w:rPr>
              <w:t>max</w:t>
            </w:r>
            <w:proofErr w:type="spellEnd"/>
            <w:r w:rsidRPr="00915A3E">
              <w:rPr>
                <w:rFonts w:asciiTheme="minorHAnsi" w:hAnsiTheme="minorHAnsi" w:cstheme="minorHAnsi"/>
                <w:noProof w:val="0"/>
                <w:vertAlign w:val="subscript"/>
              </w:rPr>
              <w:t xml:space="preserve"> </w:t>
            </w:r>
            <w:r w:rsidRPr="00915A3E">
              <w:rPr>
                <w:rFonts w:asciiTheme="minorHAnsi" w:hAnsiTheme="minorHAnsi" w:cstheme="minorHAnsi"/>
                <w:noProof w:val="0"/>
              </w:rPr>
              <w:t>(ng/mL)</w:t>
            </w:r>
          </w:p>
        </w:tc>
        <w:tc>
          <w:tcPr>
            <w:tcW w:w="1985" w:type="dxa"/>
            <w:shd w:val="clear" w:color="auto" w:fill="auto"/>
            <w:vAlign w:val="center"/>
          </w:tcPr>
          <w:p w14:paraId="3FD7AEF5"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3528.3 (94.4)</w:t>
            </w:r>
          </w:p>
        </w:tc>
        <w:tc>
          <w:tcPr>
            <w:tcW w:w="1912" w:type="dxa"/>
            <w:shd w:val="clear" w:color="auto" w:fill="auto"/>
            <w:vAlign w:val="center"/>
          </w:tcPr>
          <w:p w14:paraId="505FC651"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2626.5 (14.5)</w:t>
            </w:r>
          </w:p>
        </w:tc>
        <w:tc>
          <w:tcPr>
            <w:tcW w:w="253" w:type="dxa"/>
            <w:shd w:val="clear" w:color="auto" w:fill="auto"/>
            <w:vAlign w:val="center"/>
          </w:tcPr>
          <w:p w14:paraId="0547FF0D"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1851" w:type="dxa"/>
            <w:shd w:val="clear" w:color="auto" w:fill="auto"/>
            <w:vAlign w:val="center"/>
          </w:tcPr>
          <w:p w14:paraId="36103F3C"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8034.7 (7.8)</w:t>
            </w:r>
          </w:p>
        </w:tc>
        <w:tc>
          <w:tcPr>
            <w:tcW w:w="1724" w:type="dxa"/>
            <w:shd w:val="clear" w:color="auto" w:fill="auto"/>
            <w:vAlign w:val="center"/>
          </w:tcPr>
          <w:p w14:paraId="2856AC67"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8022.5 (0.9)</w:t>
            </w:r>
          </w:p>
        </w:tc>
        <w:tc>
          <w:tcPr>
            <w:tcW w:w="2406" w:type="dxa"/>
            <w:shd w:val="clear" w:color="auto" w:fill="auto"/>
            <w:vAlign w:val="center"/>
          </w:tcPr>
          <w:p w14:paraId="2020A976"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3.05 (1.68 – 10.5)</w:t>
            </w:r>
          </w:p>
        </w:tc>
      </w:tr>
      <w:tr w:rsidR="00915A3E" w:rsidRPr="00915A3E" w14:paraId="790A8186" w14:textId="77777777" w:rsidTr="00915A3E">
        <w:trPr>
          <w:jc w:val="center"/>
        </w:trPr>
        <w:tc>
          <w:tcPr>
            <w:tcW w:w="2829" w:type="dxa"/>
            <w:tcBorders>
              <w:bottom w:val="single" w:sz="8" w:space="0" w:color="auto"/>
            </w:tcBorders>
            <w:shd w:val="clear" w:color="auto" w:fill="auto"/>
            <w:vAlign w:val="center"/>
          </w:tcPr>
          <w:p w14:paraId="6763B242"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roofErr w:type="spellStart"/>
            <w:r w:rsidRPr="00915A3E">
              <w:rPr>
                <w:rFonts w:asciiTheme="minorHAnsi" w:hAnsiTheme="minorHAnsi" w:cstheme="minorHAnsi"/>
                <w:noProof w:val="0"/>
              </w:rPr>
              <w:t>Cτ</w:t>
            </w:r>
            <w:proofErr w:type="spellEnd"/>
            <w:r w:rsidRPr="00915A3E">
              <w:rPr>
                <w:rFonts w:asciiTheme="minorHAnsi" w:hAnsiTheme="minorHAnsi" w:cstheme="minorHAnsi"/>
                <w:noProof w:val="0"/>
              </w:rPr>
              <w:t xml:space="preserve"> (ng/m L)</w:t>
            </w:r>
          </w:p>
        </w:tc>
        <w:tc>
          <w:tcPr>
            <w:tcW w:w="1985" w:type="dxa"/>
            <w:tcBorders>
              <w:bottom w:val="single" w:sz="8" w:space="0" w:color="auto"/>
            </w:tcBorders>
            <w:shd w:val="clear" w:color="auto" w:fill="auto"/>
            <w:vAlign w:val="center"/>
          </w:tcPr>
          <w:p w14:paraId="76BA6AA9"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389.1 (14.2)</w:t>
            </w:r>
          </w:p>
        </w:tc>
        <w:tc>
          <w:tcPr>
            <w:tcW w:w="1912" w:type="dxa"/>
            <w:tcBorders>
              <w:bottom w:val="single" w:sz="8" w:space="0" w:color="auto"/>
            </w:tcBorders>
            <w:shd w:val="clear" w:color="auto" w:fill="auto"/>
            <w:vAlign w:val="center"/>
          </w:tcPr>
          <w:p w14:paraId="689AC9AE"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387.1 (2.4)</w:t>
            </w:r>
          </w:p>
        </w:tc>
        <w:tc>
          <w:tcPr>
            <w:tcW w:w="253" w:type="dxa"/>
            <w:tcBorders>
              <w:bottom w:val="single" w:sz="8" w:space="0" w:color="auto"/>
            </w:tcBorders>
            <w:shd w:val="clear" w:color="auto" w:fill="auto"/>
            <w:vAlign w:val="center"/>
          </w:tcPr>
          <w:p w14:paraId="153814D2"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p>
        </w:tc>
        <w:tc>
          <w:tcPr>
            <w:tcW w:w="1851" w:type="dxa"/>
            <w:tcBorders>
              <w:bottom w:val="single" w:sz="8" w:space="0" w:color="auto"/>
            </w:tcBorders>
            <w:shd w:val="clear" w:color="auto" w:fill="auto"/>
            <w:vAlign w:val="center"/>
          </w:tcPr>
          <w:p w14:paraId="23837264"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699.0 (18.3)</w:t>
            </w:r>
          </w:p>
        </w:tc>
        <w:tc>
          <w:tcPr>
            <w:tcW w:w="1724" w:type="dxa"/>
            <w:tcBorders>
              <w:bottom w:val="single" w:sz="8" w:space="0" w:color="auto"/>
            </w:tcBorders>
            <w:shd w:val="clear" w:color="auto" w:fill="auto"/>
            <w:vAlign w:val="center"/>
          </w:tcPr>
          <w:p w14:paraId="04C81F5A"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550.5 (5.8)</w:t>
            </w:r>
          </w:p>
        </w:tc>
        <w:tc>
          <w:tcPr>
            <w:tcW w:w="2406" w:type="dxa"/>
            <w:tcBorders>
              <w:bottom w:val="single" w:sz="8" w:space="0" w:color="auto"/>
            </w:tcBorders>
            <w:shd w:val="clear" w:color="auto" w:fill="auto"/>
            <w:vAlign w:val="center"/>
          </w:tcPr>
          <w:p w14:paraId="0C677BF1" w14:textId="77777777" w:rsidR="00915A3E" w:rsidRPr="00915A3E" w:rsidRDefault="00915A3E" w:rsidP="00915A3E">
            <w:pPr>
              <w:autoSpaceDE w:val="0"/>
              <w:autoSpaceDN w:val="0"/>
              <w:adjustRightInd w:val="0"/>
              <w:snapToGrid w:val="0"/>
              <w:spacing w:line="240" w:lineRule="auto"/>
              <w:jc w:val="center"/>
              <w:rPr>
                <w:rFonts w:asciiTheme="minorHAnsi" w:hAnsiTheme="minorHAnsi" w:cstheme="minorHAnsi"/>
                <w:noProof w:val="0"/>
              </w:rPr>
            </w:pPr>
            <w:r w:rsidRPr="00915A3E">
              <w:rPr>
                <w:rFonts w:asciiTheme="minorHAnsi" w:hAnsiTheme="minorHAnsi" w:cstheme="minorHAnsi"/>
                <w:noProof w:val="0"/>
              </w:rPr>
              <w:t xml:space="preserve">1.42 (1.28 – 2.04) </w:t>
            </w:r>
          </w:p>
        </w:tc>
      </w:tr>
    </w:tbl>
    <w:bookmarkEnd w:id="2"/>
    <w:p w14:paraId="3EA3751E" w14:textId="77777777" w:rsidR="00343B94" w:rsidRPr="00656DF4" w:rsidRDefault="00343B94" w:rsidP="00656DF4">
      <w:pPr>
        <w:pStyle w:val="MDPI23heading3"/>
        <w:spacing w:before="240"/>
      </w:pPr>
      <w:r w:rsidRPr="00656DF4">
        <w:t>Plasma-DBS Cross-validation</w:t>
      </w:r>
    </w:p>
    <w:p w14:paraId="1FD0DC4A" w14:textId="77777777" w:rsidR="00343B94" w:rsidRDefault="00343B94" w:rsidP="00656DF4">
      <w:pPr>
        <w:pStyle w:val="MDPI31text"/>
      </w:pPr>
      <w:r w:rsidRPr="00615B25">
        <w:t xml:space="preserve">Average (SD) DBS concentration was 68.6% lower than the corresponding plasma concentrations in the intensive PK samples. A significant correlation was observed between nitazoxanide concentration in plasma and DBS samples. (coefficient, R = 0.87, P &lt; 0.001) (Figure 2). The equation y = 2.1343x + 53.489 described the relationship between </w:t>
      </w:r>
      <w:proofErr w:type="spellStart"/>
      <w:r w:rsidRPr="00615B25">
        <w:t>tizoxanide</w:t>
      </w:r>
      <w:proofErr w:type="spellEnd"/>
      <w:r w:rsidRPr="00615B25">
        <w:t xml:space="preserve"> concentration in the two matrices, where y is the plasma concentrations and x </w:t>
      </w:r>
      <w:proofErr w:type="gramStart"/>
      <w:r w:rsidRPr="00615B25">
        <w:t>is</w:t>
      </w:r>
      <w:proofErr w:type="gramEnd"/>
      <w:r w:rsidRPr="00615B25">
        <w:t xml:space="preserve"> the DBS concentrations. Similarly, DBS-derived plasma concentrations obtained from DBS concentrations had a very strong correlation with measured plasma concentration with a correlation coefficient R = 0.95, P &lt; 0.001. (Figure 3).</w:t>
      </w:r>
    </w:p>
    <w:p w14:paraId="5EE71D6D" w14:textId="77777777" w:rsidR="00A4179B" w:rsidRPr="00615B25" w:rsidRDefault="00A4179B" w:rsidP="00A4179B">
      <w:pPr>
        <w:pStyle w:val="MDPI52figure"/>
      </w:pPr>
      <w:r w:rsidRPr="00615B25">
        <w:lastRenderedPageBreak/>
        <w:t xml:space="preserve"> (95% CI) for n =18</w:t>
      </w:r>
      <w:r w:rsidRPr="00615B25">
        <w:drawing>
          <wp:inline distT="0" distB="0" distL="0" distR="0" wp14:anchorId="12597DCD" wp14:editId="0E3BD16E">
            <wp:extent cx="5514889" cy="4094922"/>
            <wp:effectExtent l="0" t="0" r="0" b="1270"/>
            <wp:docPr id="13" name="Picture 13" descr="A graph of a number of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aph of a number of numbers and a line&#10;&#10;Description automatically generated"/>
                    <pic:cNvPicPr/>
                  </pic:nvPicPr>
                  <pic:blipFill>
                    <a:blip r:embed="rId10"/>
                    <a:stretch>
                      <a:fillRect/>
                    </a:stretch>
                  </pic:blipFill>
                  <pic:spPr>
                    <a:xfrm>
                      <a:off x="0" y="0"/>
                      <a:ext cx="5527989" cy="4104649"/>
                    </a:xfrm>
                    <a:prstGeom prst="rect">
                      <a:avLst/>
                    </a:prstGeom>
                  </pic:spPr>
                </pic:pic>
              </a:graphicData>
            </a:graphic>
          </wp:inline>
        </w:drawing>
      </w:r>
    </w:p>
    <w:p w14:paraId="6360C459" w14:textId="28FC82D1" w:rsidR="00A4179B" w:rsidRDefault="00A4179B" w:rsidP="00A4179B">
      <w:pPr>
        <w:pStyle w:val="MDPI51figurecaption"/>
      </w:pPr>
      <w:r w:rsidRPr="00A4179B">
        <w:rPr>
          <w:b/>
        </w:rPr>
        <w:t xml:space="preserve">Figure 2. </w:t>
      </w:r>
      <w:r w:rsidRPr="00615B25">
        <w:t xml:space="preserve">Linearity between </w:t>
      </w:r>
      <w:proofErr w:type="spellStart"/>
      <w:r w:rsidRPr="00615B25">
        <w:t>tizoxanide</w:t>
      </w:r>
      <w:proofErr w:type="spellEnd"/>
      <w:r w:rsidRPr="00615B25">
        <w:t xml:space="preserve"> plasma concentrations DBS concentrations</w:t>
      </w:r>
      <w:r>
        <w:t>.</w:t>
      </w:r>
    </w:p>
    <w:p w14:paraId="7C77EDFD" w14:textId="77777777" w:rsidR="00A4179B" w:rsidRPr="00615B25" w:rsidRDefault="00A4179B" w:rsidP="00A4179B">
      <w:pPr>
        <w:adjustRightInd w:val="0"/>
        <w:snapToGrid w:val="0"/>
        <w:spacing w:line="360" w:lineRule="auto"/>
        <w:ind w:left="1440" w:firstLine="720"/>
        <w:rPr>
          <w:rFonts w:asciiTheme="minorHAnsi" w:hAnsiTheme="minorHAnsi" w:cstheme="minorHAnsi"/>
          <w:noProof w:val="0"/>
        </w:rPr>
      </w:pPr>
    </w:p>
    <w:p w14:paraId="1FF21001" w14:textId="77777777" w:rsidR="00A4179B" w:rsidRPr="00615B25" w:rsidRDefault="00A4179B" w:rsidP="00A4179B">
      <w:pPr>
        <w:pStyle w:val="MDPI52figure"/>
        <w:rPr>
          <w:rFonts w:asciiTheme="minorHAnsi" w:hAnsiTheme="minorHAnsi" w:cstheme="minorHAnsi"/>
        </w:rPr>
      </w:pPr>
      <w:r w:rsidRPr="00615B25">
        <w:lastRenderedPageBreak/>
        <w:drawing>
          <wp:inline distT="0" distB="0" distL="0" distR="0" wp14:anchorId="121A6CB6" wp14:editId="1AC93FF0">
            <wp:extent cx="5943600" cy="4494530"/>
            <wp:effectExtent l="0" t="0" r="0" b="1270"/>
            <wp:docPr id="234825373" name="Picture 234825373" descr="A graph of a positive resul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25373" name="Picture 234825373" descr="A graph of a positive result&#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94530"/>
                    </a:xfrm>
                    <a:prstGeom prst="rect">
                      <a:avLst/>
                    </a:prstGeom>
                    <a:noFill/>
                    <a:ln>
                      <a:noFill/>
                    </a:ln>
                  </pic:spPr>
                </pic:pic>
              </a:graphicData>
            </a:graphic>
          </wp:inline>
        </w:drawing>
      </w:r>
    </w:p>
    <w:p w14:paraId="604E0877" w14:textId="2165438E" w:rsidR="00A4179B" w:rsidRPr="00615B25" w:rsidRDefault="00A4179B" w:rsidP="00A4179B">
      <w:pPr>
        <w:pStyle w:val="MDPI51figurecaption"/>
        <w:jc w:val="both"/>
      </w:pPr>
      <w:r w:rsidRPr="00A4179B">
        <w:rPr>
          <w:b/>
        </w:rPr>
        <w:t xml:space="preserve">Figure 3. </w:t>
      </w:r>
      <w:r w:rsidRPr="00615B25">
        <w:t xml:space="preserve">Linearity between </w:t>
      </w:r>
      <w:proofErr w:type="spellStart"/>
      <w:r w:rsidRPr="00615B25">
        <w:t>tizoxanide</w:t>
      </w:r>
      <w:proofErr w:type="spellEnd"/>
      <w:r w:rsidRPr="00615B25">
        <w:t xml:space="preserve"> plasma concentrations DBS concentrations (broken line represents true line of identity)</w:t>
      </w:r>
      <w:r>
        <w:t>.</w:t>
      </w:r>
    </w:p>
    <w:p w14:paraId="50EDB78B" w14:textId="77777777" w:rsidR="00343B94" w:rsidRPr="00615B25" w:rsidRDefault="00343B94" w:rsidP="00656DF4">
      <w:pPr>
        <w:pStyle w:val="MDPI21heading1"/>
      </w:pPr>
      <w:r w:rsidRPr="00615B25">
        <w:t>Discussions</w:t>
      </w:r>
    </w:p>
    <w:p w14:paraId="4AA737CC" w14:textId="77777777" w:rsidR="00343B94" w:rsidRPr="00615B25" w:rsidRDefault="00343B94" w:rsidP="00656DF4">
      <w:pPr>
        <w:pStyle w:val="MDPI31text"/>
      </w:pPr>
      <w:r w:rsidRPr="00615B25">
        <w:t xml:space="preserve">The pharmacokinetic interaction between oral nitazoxanide (1000 mg) and atazanavir/ritonavir (300/100 mg) was successfully investigated in this single dose, cross-over study in healthy volunteers. Co-administration with atazanavir/ritonavir boosted the plasma pharmacokinetics of </w:t>
      </w:r>
      <w:proofErr w:type="spellStart"/>
      <w:r w:rsidRPr="00615B25">
        <w:t>tizoxanide</w:t>
      </w:r>
      <w:proofErr w:type="spellEnd"/>
      <w:r w:rsidRPr="00615B25">
        <w:t xml:space="preserve">, the active metabolite of nitazoxanide, by 69.05%. This strategy could potentially create opportunities to explore nitazoxanide for indications requiring exposure levels not achievable with the standard dose, with further benefit of synergistic antiviral activity of atazanavir/ritonavir in the case of viral infections. </w:t>
      </w:r>
    </w:p>
    <w:p w14:paraId="0C1460F5" w14:textId="77777777" w:rsidR="00343B94" w:rsidRPr="00615B25" w:rsidRDefault="00343B94" w:rsidP="00656DF4">
      <w:pPr>
        <w:pStyle w:val="MDPI31text"/>
      </w:pPr>
      <w:r w:rsidRPr="00615B25">
        <w:t xml:space="preserve">Doses higher than 500 mg of nitazoxanide were predicted to achieve </w:t>
      </w:r>
      <w:proofErr w:type="spellStart"/>
      <w:r w:rsidRPr="00615B25">
        <w:t>tizoxanide</w:t>
      </w:r>
      <w:proofErr w:type="spellEnd"/>
      <w:r w:rsidRPr="00615B25">
        <w:t xml:space="preserve"> plasma and lung tissue levels to ensure EC</w:t>
      </w:r>
      <w:r w:rsidRPr="00615B25">
        <w:rPr>
          <w:vertAlign w:val="subscript"/>
        </w:rPr>
        <w:t>90</w:t>
      </w:r>
      <w:r w:rsidRPr="00615B25">
        <w:t xml:space="preserve"> of 1.43 mg/L required for SARS-CoV-2 viral suppression [21]. Since efficacy, ease of administration and more importantly safety concerns usually inform the choice of drugs and dosing in repurposed drugs [3, 38], we decided to investigate the appropriateness of a 1000 mg twice daily regime since its safety has been previously established and not associated with most gastrointestinal side effects associated with higher doses [39, 40]. Although this dose was reported to only achieve plasma concentration higher than the EC</w:t>
      </w:r>
      <w:r w:rsidRPr="00615B25">
        <w:rPr>
          <w:vertAlign w:val="subscript"/>
        </w:rPr>
        <w:t>90</w:t>
      </w:r>
      <w:r w:rsidRPr="00615B25">
        <w:t xml:space="preserve"> and not in the lungs, the strategy investigated here resulted in the </w:t>
      </w:r>
      <w:proofErr w:type="gramStart"/>
      <w:r w:rsidRPr="00615B25">
        <w:rPr>
          <w:i/>
        </w:rPr>
        <w:t>in situ</w:t>
      </w:r>
      <w:proofErr w:type="gramEnd"/>
      <w:r w:rsidRPr="00615B25">
        <w:t xml:space="preserve"> elevation of </w:t>
      </w:r>
      <w:proofErr w:type="spellStart"/>
      <w:r w:rsidRPr="00615B25">
        <w:t>tizoxanide</w:t>
      </w:r>
      <w:proofErr w:type="spellEnd"/>
      <w:r w:rsidRPr="00615B25">
        <w:t xml:space="preserve"> metabolite, preventing its conversion to </w:t>
      </w:r>
      <w:proofErr w:type="spellStart"/>
      <w:r w:rsidRPr="00615B25">
        <w:t>tizoxanide</w:t>
      </w:r>
      <w:proofErr w:type="spellEnd"/>
      <w:r w:rsidRPr="00615B25">
        <w:t>-glucuronide by UGT enzymes, in the presence of atazanavir, a known UGT enzyme inhibitor [31].</w:t>
      </w:r>
      <w:r w:rsidRPr="00615B25" w:rsidDel="00FB64C6">
        <w:t xml:space="preserve"> </w:t>
      </w:r>
      <w:r w:rsidRPr="00615B25">
        <w:t xml:space="preserve">Additionally, atazanavir/ritonavir is an antiviral drug with activity against several viral pathogens; it is reportedly active </w:t>
      </w:r>
      <w:r w:rsidRPr="00615B25">
        <w:rPr>
          <w:i/>
        </w:rPr>
        <w:t>in vitro</w:t>
      </w:r>
      <w:r w:rsidRPr="00615B25">
        <w:t xml:space="preserve"> against SARS-CoV-2 [23, 41, 42]. Hence, its combination with nitazoxanide could be investigated for efficacy against SARS-CoV-2 infection and other viruses in the future. Furthermore, this combination was not associated with any serious adverse events in this cohort. </w:t>
      </w:r>
    </w:p>
    <w:p w14:paraId="04D8544D" w14:textId="77777777" w:rsidR="00343B94" w:rsidRPr="00615B25" w:rsidRDefault="00343B94" w:rsidP="00656DF4">
      <w:pPr>
        <w:pStyle w:val="MDPI31text"/>
      </w:pPr>
      <w:r w:rsidRPr="00615B25">
        <w:lastRenderedPageBreak/>
        <w:t>Though atazanavir is a known inhibitor of UGT enzymes, investigating the exact mechanism was beyond the scope of this study. However, pharmacokinetic boosting by intentional modulation of drug disposition is not new and it is extensively used in HIV treatment (e.g. lopinavir/ritonavir, atazanavir/</w:t>
      </w:r>
      <w:proofErr w:type="spellStart"/>
      <w:r w:rsidRPr="00615B25">
        <w:t>cobisistat</w:t>
      </w:r>
      <w:proofErr w:type="spellEnd"/>
      <w:r w:rsidRPr="00615B25">
        <w:t xml:space="preserve">, elvitegravir/ </w:t>
      </w:r>
      <w:proofErr w:type="spellStart"/>
      <w:r w:rsidRPr="00615B25">
        <w:t>cobisistat</w:t>
      </w:r>
      <w:proofErr w:type="spellEnd"/>
      <w:r w:rsidRPr="00615B25">
        <w:t>). A recent review is also available on pharmacokinetic boosting strategies for kinase inhibitors [28].</w:t>
      </w:r>
    </w:p>
    <w:p w14:paraId="7A26B169" w14:textId="77777777" w:rsidR="00343B94" w:rsidRPr="00615B25" w:rsidRDefault="00343B94" w:rsidP="00656DF4">
      <w:pPr>
        <w:pStyle w:val="MDPI31text"/>
      </w:pPr>
      <w:r w:rsidRPr="00615B25">
        <w:t xml:space="preserve">Our exploration of the DBS method as an alternative for the plasma method was prompted by sample collection limitations associated with risk mitigation strategies in pandemic settings. Samples collected on DBS cards are considered non-infectious and are exempted from UN3373 transport of dangerous goods regulation [43]. Hence, it could facilitate pharmacokinetic sampling as part of drug repurposing trial under stringent risk mitigation strategies. The strong correlation observed between </w:t>
      </w:r>
      <w:proofErr w:type="spellStart"/>
      <w:r w:rsidRPr="00615B25">
        <w:t>tizoxanide</w:t>
      </w:r>
      <w:proofErr w:type="spellEnd"/>
      <w:r w:rsidRPr="00615B25">
        <w:t xml:space="preserve"> concentration in plasma and DBS, along with good linearity in linear regression analysis allowed reasonable confidence in predicting plasma concentrations from DBS concentrations using the linear equation generated. The strong correlation between plasma concentration and DBS-derived plasma concentration indicated the strong potential of replacing the plasma sampling method of the drug with the DBS sampling approach. Advantages include ease of sample collection, no need for centrifugation, storage at room temperature for stable analytes, and no need for specialized shipment beyond three-component packaging.  However, more studies are required to establish room temperature stability, and the impact of other variables not evaluated in the present study on DBS concentration (e.g. hematocrit, and plasma protein binding), in the same way these have been evaluated for some drugs, such as efavirenz and dolutegravir, in the past [44, 45].</w:t>
      </w:r>
    </w:p>
    <w:p w14:paraId="4004D291" w14:textId="586FE729" w:rsidR="00343B94" w:rsidRPr="00615B25" w:rsidRDefault="00343B94" w:rsidP="007C60BB">
      <w:pPr>
        <w:pStyle w:val="MDPI62BackMatter"/>
        <w:spacing w:before="240"/>
      </w:pPr>
      <w:r w:rsidRPr="007C60BB">
        <w:rPr>
          <w:b/>
        </w:rPr>
        <w:t>Authors’ contributions:</w:t>
      </w:r>
      <w:r w:rsidR="007C60BB" w:rsidRPr="007C60BB">
        <w:rPr>
          <w:b/>
        </w:rPr>
        <w:t xml:space="preserve"> </w:t>
      </w:r>
      <w:r w:rsidRPr="00615B25">
        <w:t xml:space="preserve">Abdulafeez Akinloye, Timothy Oyedeji and Oluwasegun Eniayewu conducted the experiment, performed data </w:t>
      </w:r>
      <w:proofErr w:type="gramStart"/>
      <w:r w:rsidRPr="00615B25">
        <w:t>analysis</w:t>
      </w:r>
      <w:proofErr w:type="gramEnd"/>
      <w:r w:rsidRPr="00615B25">
        <w:t xml:space="preserve"> and prepared the original draft of the manuscript. Babatunde Adeagbo, Oluseye Bolaji and Adeniyi Olagunju participated in the protocol design, data analysis and manuscript review; Steve Rannard, Andrew Owen and Adeniyi Olagunju were involved in supervision, research conceptualization manuscript review.</w:t>
      </w:r>
    </w:p>
    <w:p w14:paraId="1739799F" w14:textId="4AAC0B06" w:rsidR="00343B94" w:rsidRPr="007C60BB" w:rsidRDefault="007C60BB" w:rsidP="007C60BB">
      <w:pPr>
        <w:pStyle w:val="MDPI62BackMatter"/>
        <w:rPr>
          <w:b/>
        </w:rPr>
      </w:pPr>
      <w:r w:rsidRPr="007C60BB">
        <w:rPr>
          <w:b/>
        </w:rPr>
        <w:t>Conflicts of Interest</w:t>
      </w:r>
      <w:r w:rsidR="00343B94" w:rsidRPr="007C60BB">
        <w:rPr>
          <w:b/>
        </w:rPr>
        <w:t>:</w:t>
      </w:r>
      <w:r w:rsidRPr="007C60BB">
        <w:rPr>
          <w:b/>
        </w:rPr>
        <w:t xml:space="preserve"> </w:t>
      </w:r>
      <w:r w:rsidR="00343B94" w:rsidRPr="00615B25">
        <w:t>The authors declare no conflict of interest.</w:t>
      </w:r>
    </w:p>
    <w:p w14:paraId="3A35FB4C" w14:textId="0753DA86" w:rsidR="00343B94" w:rsidRPr="00615B25" w:rsidRDefault="00343B94" w:rsidP="007C60BB">
      <w:pPr>
        <w:pStyle w:val="MDPI62BackMatter"/>
        <w:rPr>
          <w:b/>
        </w:rPr>
      </w:pPr>
      <w:r w:rsidRPr="007C60BB">
        <w:rPr>
          <w:b/>
        </w:rPr>
        <w:t>Funding statement:</w:t>
      </w:r>
      <w:r w:rsidRPr="00615B25">
        <w:rPr>
          <w:b/>
        </w:rPr>
        <w:t xml:space="preserve"> </w:t>
      </w:r>
      <w:r w:rsidRPr="00615B25">
        <w:t>This work was supported by Obafemi Awolowo University, Nigeria and the University of Liverpool, United Kingdom. No external support was received.</w:t>
      </w:r>
    </w:p>
    <w:p w14:paraId="0C8464B2" w14:textId="5B4F59D4" w:rsidR="00343B94" w:rsidRPr="007C60BB" w:rsidRDefault="00343B94" w:rsidP="007C60BB">
      <w:pPr>
        <w:pStyle w:val="MDPI62BackMatter"/>
        <w:rPr>
          <w:b/>
        </w:rPr>
      </w:pPr>
      <w:r w:rsidRPr="007C60BB">
        <w:rPr>
          <w:b/>
        </w:rPr>
        <w:t xml:space="preserve">Data availability statement: </w:t>
      </w:r>
      <w:r w:rsidRPr="00615B25">
        <w:t>The data supporting the findings of this study are available upon a request to the corresponding author. No part of the data is made publicly available.</w:t>
      </w:r>
    </w:p>
    <w:p w14:paraId="4E17A813" w14:textId="77777777" w:rsidR="00343B94" w:rsidRPr="00615B25" w:rsidRDefault="00343B94" w:rsidP="007C60BB">
      <w:pPr>
        <w:pStyle w:val="MDPI21heading1"/>
        <w:ind w:left="0"/>
      </w:pPr>
      <w:bookmarkStart w:id="4" w:name="_Hlk145240189"/>
      <w:bookmarkStart w:id="5" w:name="_Hlk144232521"/>
      <w:r w:rsidRPr="00615B25">
        <w:t>References</w:t>
      </w:r>
    </w:p>
    <w:p w14:paraId="7C97CF91" w14:textId="420F6998" w:rsidR="00343B94" w:rsidRPr="00915A3E" w:rsidRDefault="00343B94" w:rsidP="00915A3E">
      <w:pPr>
        <w:pStyle w:val="MDPI71References"/>
      </w:pPr>
      <w:r w:rsidRPr="00915A3E">
        <w:t xml:space="preserve">B. Zhou, R. Wang, P. Wu, and D.-X. Kong, "Drug Repurposing Based on Drug–Drug Interaction," </w:t>
      </w:r>
      <w:r w:rsidRPr="00915A3E">
        <w:rPr>
          <w:i/>
        </w:rPr>
        <w:t xml:space="preserve">Chemical Biology &amp; Drug Design, </w:t>
      </w:r>
      <w:r w:rsidRPr="00915A3E">
        <w:t xml:space="preserve">vol. 85, no. 2, pp. 137-144, 2015, </w:t>
      </w:r>
      <w:proofErr w:type="spellStart"/>
      <w:r w:rsidRPr="00915A3E">
        <w:t>doi</w:t>
      </w:r>
      <w:proofErr w:type="spellEnd"/>
      <w:r w:rsidRPr="00915A3E">
        <w:t>: https://doi.org/10.1111/cbdd.12378.</w:t>
      </w:r>
    </w:p>
    <w:p w14:paraId="6702F8BE" w14:textId="6452CC0D" w:rsidR="00343B94" w:rsidRPr="00915A3E" w:rsidRDefault="00343B94" w:rsidP="00915A3E">
      <w:pPr>
        <w:pStyle w:val="MDPI71References"/>
      </w:pPr>
      <w:r w:rsidRPr="00915A3E">
        <w:t xml:space="preserve">N. U. Sahu and P. S. </w:t>
      </w:r>
      <w:proofErr w:type="spellStart"/>
      <w:r w:rsidRPr="00915A3E">
        <w:t>Kharkar</w:t>
      </w:r>
      <w:proofErr w:type="spellEnd"/>
      <w:r w:rsidRPr="00915A3E">
        <w:t xml:space="preserve">, "Computational Drug Repositioning: A Lateral Approach to Traditional Drug </w:t>
      </w:r>
      <w:proofErr w:type="gramStart"/>
      <w:r w:rsidRPr="00915A3E">
        <w:t>Discovery?,</w:t>
      </w:r>
      <w:proofErr w:type="gramEnd"/>
      <w:r w:rsidRPr="00915A3E">
        <w:t xml:space="preserve">" (in </w:t>
      </w:r>
      <w:proofErr w:type="spellStart"/>
      <w:r w:rsidRPr="00915A3E">
        <w:t>eng</w:t>
      </w:r>
      <w:proofErr w:type="spellEnd"/>
      <w:r w:rsidRPr="00915A3E">
        <w:t xml:space="preserve">), </w:t>
      </w:r>
      <w:r w:rsidRPr="00915A3E">
        <w:rPr>
          <w:i/>
        </w:rPr>
        <w:t xml:space="preserve">Curr Top Med Chem, </w:t>
      </w:r>
      <w:r w:rsidRPr="00915A3E">
        <w:t xml:space="preserve">vol. 16, no. 19, pp. 2069-77, 2016, </w:t>
      </w:r>
      <w:proofErr w:type="spellStart"/>
      <w:r w:rsidRPr="00915A3E">
        <w:t>doi</w:t>
      </w:r>
      <w:proofErr w:type="spellEnd"/>
      <w:r w:rsidRPr="00915A3E">
        <w:t>: 10.2174/1568026616666160216153249.</w:t>
      </w:r>
    </w:p>
    <w:p w14:paraId="780D6FA8" w14:textId="576AF4C6" w:rsidR="00343B94" w:rsidRPr="00915A3E" w:rsidRDefault="00343B94" w:rsidP="00915A3E">
      <w:pPr>
        <w:pStyle w:val="MDPI71References"/>
      </w:pPr>
      <w:r w:rsidRPr="00915A3E">
        <w:t xml:space="preserve">Z. Y. Low, I. A. Farouk, and S. K. Lal, "Drug Repositioning: New Approaches and Future Prospects for Life-Debilitating Diseases and the COVID-19 Pandemic Outbreak," (in </w:t>
      </w:r>
      <w:proofErr w:type="spellStart"/>
      <w:r w:rsidRPr="00915A3E">
        <w:t>eng</w:t>
      </w:r>
      <w:proofErr w:type="spellEnd"/>
      <w:r w:rsidRPr="00915A3E">
        <w:t xml:space="preserve">), </w:t>
      </w:r>
      <w:r w:rsidRPr="00915A3E">
        <w:rPr>
          <w:i/>
        </w:rPr>
        <w:t xml:space="preserve">Viruses, </w:t>
      </w:r>
      <w:r w:rsidRPr="00915A3E">
        <w:t>vol. 12, no. 9, Sep 22</w:t>
      </w:r>
      <w:proofErr w:type="gramStart"/>
      <w:r w:rsidRPr="00915A3E">
        <w:t xml:space="preserve"> 2020</w:t>
      </w:r>
      <w:proofErr w:type="gramEnd"/>
      <w:r w:rsidRPr="00915A3E">
        <w:t xml:space="preserve">, </w:t>
      </w:r>
      <w:proofErr w:type="spellStart"/>
      <w:r w:rsidRPr="00915A3E">
        <w:t>doi</w:t>
      </w:r>
      <w:proofErr w:type="spellEnd"/>
      <w:r w:rsidRPr="00915A3E">
        <w:t>: 10.3390/v12091058.</w:t>
      </w:r>
    </w:p>
    <w:p w14:paraId="368169AE" w14:textId="3D3D38E8" w:rsidR="00343B94" w:rsidRPr="00915A3E" w:rsidRDefault="00343B94" w:rsidP="00915A3E">
      <w:pPr>
        <w:pStyle w:val="MDPI71References"/>
      </w:pPr>
      <w:r w:rsidRPr="00915A3E">
        <w:t xml:space="preserve">N. Ai, X. Fan, and S. Ekins, "In silico methods for predicting drug-drug interactions with cytochrome P-450s, transporters and beyond," (in </w:t>
      </w:r>
      <w:proofErr w:type="spellStart"/>
      <w:r w:rsidRPr="00915A3E">
        <w:t>eng</w:t>
      </w:r>
      <w:proofErr w:type="spellEnd"/>
      <w:r w:rsidRPr="00915A3E">
        <w:t xml:space="preserve">), </w:t>
      </w:r>
      <w:r w:rsidRPr="00915A3E">
        <w:rPr>
          <w:i/>
        </w:rPr>
        <w:t xml:space="preserve">Adv Drug Deliv Rev, </w:t>
      </w:r>
      <w:r w:rsidRPr="00915A3E">
        <w:t>vol. 86, pp. 46-60, Jun 23</w:t>
      </w:r>
      <w:proofErr w:type="gramStart"/>
      <w:r w:rsidRPr="00915A3E">
        <w:t xml:space="preserve"> 2015</w:t>
      </w:r>
      <w:proofErr w:type="gramEnd"/>
      <w:r w:rsidRPr="00915A3E">
        <w:t xml:space="preserve">, </w:t>
      </w:r>
      <w:proofErr w:type="spellStart"/>
      <w:r w:rsidRPr="00915A3E">
        <w:t>doi</w:t>
      </w:r>
      <w:proofErr w:type="spellEnd"/>
      <w:r w:rsidRPr="00915A3E">
        <w:t>: 10.1016/j.addr.2015.03.006.</w:t>
      </w:r>
    </w:p>
    <w:p w14:paraId="1DC0168C" w14:textId="70BCE21D" w:rsidR="00343B94" w:rsidRPr="00915A3E" w:rsidRDefault="00343B94" w:rsidP="00915A3E">
      <w:pPr>
        <w:pStyle w:val="MDPI71References"/>
      </w:pPr>
      <w:r w:rsidRPr="00915A3E">
        <w:t>N. M. Abd El-</w:t>
      </w:r>
      <w:proofErr w:type="spellStart"/>
      <w:r w:rsidRPr="00915A3E">
        <w:t>Fadeal</w:t>
      </w:r>
      <w:proofErr w:type="spellEnd"/>
      <w:r w:rsidRPr="00915A3E">
        <w:rPr>
          <w:i/>
        </w:rPr>
        <w:t xml:space="preserve"> et al.</w:t>
      </w:r>
      <w:r w:rsidRPr="00915A3E">
        <w:t xml:space="preserve">, "Antitumor Activity of Nitazoxanide against Colon Cancers: Molecular Docking and Experimental Studies Based on </w:t>
      </w:r>
      <w:proofErr w:type="spellStart"/>
      <w:r w:rsidRPr="00915A3E">
        <w:t>Wnt</w:t>
      </w:r>
      <w:proofErr w:type="spellEnd"/>
      <w:r w:rsidRPr="00915A3E">
        <w:t xml:space="preserve">/β-Catenin Signaling Inhibition," (in </w:t>
      </w:r>
      <w:proofErr w:type="spellStart"/>
      <w:r w:rsidRPr="00915A3E">
        <w:t>eng</w:t>
      </w:r>
      <w:proofErr w:type="spellEnd"/>
      <w:r w:rsidRPr="00915A3E">
        <w:t xml:space="preserve">), </w:t>
      </w:r>
      <w:r w:rsidRPr="00915A3E">
        <w:rPr>
          <w:i/>
        </w:rPr>
        <w:t xml:space="preserve">Int J Mol Sci, </w:t>
      </w:r>
      <w:r w:rsidRPr="00915A3E">
        <w:t>vol. 22, no. 10, May 14</w:t>
      </w:r>
      <w:proofErr w:type="gramStart"/>
      <w:r w:rsidRPr="00915A3E">
        <w:t xml:space="preserve"> 2021</w:t>
      </w:r>
      <w:proofErr w:type="gramEnd"/>
      <w:r w:rsidRPr="00915A3E">
        <w:t xml:space="preserve">, </w:t>
      </w:r>
      <w:proofErr w:type="spellStart"/>
      <w:r w:rsidRPr="00915A3E">
        <w:t>doi</w:t>
      </w:r>
      <w:proofErr w:type="spellEnd"/>
      <w:r w:rsidRPr="00915A3E">
        <w:t>: 10.3390/ijms22105213.</w:t>
      </w:r>
    </w:p>
    <w:p w14:paraId="6D2DC6A2" w14:textId="193B5777" w:rsidR="00343B94" w:rsidRPr="00915A3E" w:rsidRDefault="00343B94" w:rsidP="00915A3E">
      <w:pPr>
        <w:pStyle w:val="MDPI71References"/>
      </w:pPr>
      <w:r w:rsidRPr="00915A3E">
        <w:t xml:space="preserve">R. Bolia, "Nitazoxanide: Jack of All, Master of </w:t>
      </w:r>
      <w:proofErr w:type="gramStart"/>
      <w:r w:rsidRPr="00915A3E">
        <w:t>None?,</w:t>
      </w:r>
      <w:proofErr w:type="gramEnd"/>
      <w:r w:rsidRPr="00915A3E">
        <w:t xml:space="preserve">" </w:t>
      </w:r>
      <w:r w:rsidRPr="00915A3E">
        <w:rPr>
          <w:i/>
        </w:rPr>
        <w:t xml:space="preserve">The Indian Journal of Pediatrics, </w:t>
      </w:r>
      <w:r w:rsidRPr="00915A3E">
        <w:t xml:space="preserve">vol. 87, no. 1, pp. 4-5, 2020/01/01 2020, </w:t>
      </w:r>
      <w:proofErr w:type="spellStart"/>
      <w:r w:rsidRPr="00915A3E">
        <w:t>doi</w:t>
      </w:r>
      <w:proofErr w:type="spellEnd"/>
      <w:r w:rsidRPr="00915A3E">
        <w:t>: 10.1007/s12098-019-03131-y.</w:t>
      </w:r>
    </w:p>
    <w:p w14:paraId="102A2386" w14:textId="14973D7C" w:rsidR="00343B94" w:rsidRPr="00915A3E" w:rsidRDefault="00343B94" w:rsidP="00915A3E">
      <w:pPr>
        <w:pStyle w:val="MDPI71References"/>
      </w:pPr>
      <w:r w:rsidRPr="00915A3E">
        <w:t xml:space="preserve">N. Di Santo and J. Ehrisman, "A functional perspective of nitazoxanide as a potential anticancer drug," </w:t>
      </w:r>
      <w:r w:rsidRPr="00915A3E">
        <w:rPr>
          <w:i/>
        </w:rPr>
        <w:t xml:space="preserve">Mutation Research/Fundamental and Molecular Mechanisms of Mutagenesis, </w:t>
      </w:r>
      <w:r w:rsidRPr="00915A3E">
        <w:t xml:space="preserve">vol. 768, pp. 16-21, 2014/10/01/ 2014, </w:t>
      </w:r>
      <w:proofErr w:type="spellStart"/>
      <w:r w:rsidRPr="00915A3E">
        <w:t>doi</w:t>
      </w:r>
      <w:proofErr w:type="spellEnd"/>
      <w:r w:rsidRPr="00915A3E">
        <w:t>: https://doi.org/10.1016/j.mrfmmm.2014.05.005.</w:t>
      </w:r>
    </w:p>
    <w:p w14:paraId="3BA18A18" w14:textId="091E7BF1" w:rsidR="00343B94" w:rsidRPr="00915A3E" w:rsidRDefault="00343B94" w:rsidP="00915A3E">
      <w:pPr>
        <w:pStyle w:val="MDPI71References"/>
      </w:pPr>
      <w:r w:rsidRPr="00915A3E">
        <w:t xml:space="preserve">Z. </w:t>
      </w:r>
      <w:proofErr w:type="spellStart"/>
      <w:r w:rsidRPr="00915A3E">
        <w:t>Lü</w:t>
      </w:r>
      <w:proofErr w:type="spellEnd"/>
      <w:r w:rsidRPr="00915A3E">
        <w:rPr>
          <w:i/>
        </w:rPr>
        <w:t xml:space="preserve"> et al.</w:t>
      </w:r>
      <w:r w:rsidRPr="00915A3E">
        <w:t xml:space="preserve">, "Structure-Activity Study of Nitazoxanide Derivatives as Novel STAT3 Pathway Inhibitors," (in </w:t>
      </w:r>
      <w:proofErr w:type="spellStart"/>
      <w:r w:rsidRPr="00915A3E">
        <w:t>eng</w:t>
      </w:r>
      <w:proofErr w:type="spellEnd"/>
      <w:r w:rsidRPr="00915A3E">
        <w:t xml:space="preserve">), </w:t>
      </w:r>
      <w:r w:rsidRPr="00915A3E">
        <w:rPr>
          <w:i/>
        </w:rPr>
        <w:t xml:space="preserve">ACS Med Chem Lett, </w:t>
      </w:r>
      <w:r w:rsidRPr="00915A3E">
        <w:t>vol. 12, no. 5, pp. 696-703, May 13</w:t>
      </w:r>
      <w:proofErr w:type="gramStart"/>
      <w:r w:rsidRPr="00915A3E">
        <w:t xml:space="preserve"> 2021</w:t>
      </w:r>
      <w:proofErr w:type="gramEnd"/>
      <w:r w:rsidRPr="00915A3E">
        <w:t xml:space="preserve">, </w:t>
      </w:r>
      <w:proofErr w:type="spellStart"/>
      <w:r w:rsidRPr="00915A3E">
        <w:t>doi</w:t>
      </w:r>
      <w:proofErr w:type="spellEnd"/>
      <w:r w:rsidRPr="00915A3E">
        <w:t>: 10.1021/acsmedchemlett.0c00544.</w:t>
      </w:r>
    </w:p>
    <w:p w14:paraId="3F3BA052" w14:textId="7185815F" w:rsidR="00343B94" w:rsidRPr="00915A3E" w:rsidRDefault="00343B94" w:rsidP="00915A3E">
      <w:pPr>
        <w:pStyle w:val="MDPI71References"/>
      </w:pPr>
      <w:r w:rsidRPr="00915A3E">
        <w:t>M. L. Grayson</w:t>
      </w:r>
      <w:r w:rsidRPr="00915A3E">
        <w:rPr>
          <w:i/>
        </w:rPr>
        <w:t xml:space="preserve"> et al.</w:t>
      </w:r>
      <w:r w:rsidRPr="00915A3E">
        <w:t>, "Foreword to the 6th Edition." United Kingdom: Taylor &amp; Francis Group, 2017.</w:t>
      </w:r>
    </w:p>
    <w:p w14:paraId="6D824F50" w14:textId="29C11BE3" w:rsidR="00343B94" w:rsidRPr="00915A3E" w:rsidRDefault="00343B94" w:rsidP="00915A3E">
      <w:pPr>
        <w:pStyle w:val="MDPI71References"/>
      </w:pPr>
      <w:r w:rsidRPr="00915A3E">
        <w:lastRenderedPageBreak/>
        <w:t xml:space="preserve">L. Dubreuil, I. </w:t>
      </w:r>
      <w:proofErr w:type="spellStart"/>
      <w:r w:rsidRPr="00915A3E">
        <w:t>Houcke</w:t>
      </w:r>
      <w:proofErr w:type="spellEnd"/>
      <w:r w:rsidRPr="00915A3E">
        <w:t xml:space="preserve">, Y. Mouton, and J. F. Rossignol, "In vitro evaluation of activities of nitazoxanide and </w:t>
      </w:r>
      <w:proofErr w:type="spellStart"/>
      <w:r w:rsidRPr="00915A3E">
        <w:t>tizoxanide</w:t>
      </w:r>
      <w:proofErr w:type="spellEnd"/>
      <w:r w:rsidRPr="00915A3E">
        <w:t xml:space="preserve"> against anaerobes and aerobic organisms," (in </w:t>
      </w:r>
      <w:proofErr w:type="spellStart"/>
      <w:r w:rsidRPr="00915A3E">
        <w:t>eng</w:t>
      </w:r>
      <w:proofErr w:type="spellEnd"/>
      <w:r w:rsidRPr="00915A3E">
        <w:t xml:space="preserve">), </w:t>
      </w:r>
      <w:proofErr w:type="spellStart"/>
      <w:r w:rsidRPr="00915A3E">
        <w:rPr>
          <w:i/>
        </w:rPr>
        <w:t>Antimicrob</w:t>
      </w:r>
      <w:proofErr w:type="spellEnd"/>
      <w:r w:rsidRPr="00915A3E">
        <w:rPr>
          <w:i/>
        </w:rPr>
        <w:t xml:space="preserve"> Agents </w:t>
      </w:r>
      <w:proofErr w:type="spellStart"/>
      <w:r w:rsidRPr="00915A3E">
        <w:rPr>
          <w:i/>
        </w:rPr>
        <w:t>Chemother</w:t>
      </w:r>
      <w:proofErr w:type="spellEnd"/>
      <w:r w:rsidRPr="00915A3E">
        <w:rPr>
          <w:i/>
        </w:rPr>
        <w:t xml:space="preserve">, </w:t>
      </w:r>
      <w:r w:rsidRPr="00915A3E">
        <w:t xml:space="preserve">vol. 40, no. 10, pp. 2266-70, Oct 1996, </w:t>
      </w:r>
      <w:proofErr w:type="spellStart"/>
      <w:r w:rsidRPr="00915A3E">
        <w:t>doi</w:t>
      </w:r>
      <w:proofErr w:type="spellEnd"/>
      <w:r w:rsidRPr="00915A3E">
        <w:t>: 10.1128/aac.40.10.2266.</w:t>
      </w:r>
    </w:p>
    <w:p w14:paraId="3B29B4FC" w14:textId="7057AF66" w:rsidR="00343B94" w:rsidRPr="00915A3E" w:rsidRDefault="00343B94" w:rsidP="00915A3E">
      <w:pPr>
        <w:pStyle w:val="MDPI71References"/>
      </w:pPr>
      <w:r w:rsidRPr="00915A3E">
        <w:t xml:space="preserve">V. R. Anderson and M. P. Curran, "Nitazoxanide: a review of its use in the treatment of gastrointestinal infections," (in </w:t>
      </w:r>
      <w:proofErr w:type="spellStart"/>
      <w:r w:rsidRPr="00915A3E">
        <w:t>eng</w:t>
      </w:r>
      <w:proofErr w:type="spellEnd"/>
      <w:r w:rsidRPr="00915A3E">
        <w:t xml:space="preserve">), </w:t>
      </w:r>
      <w:r w:rsidRPr="00915A3E">
        <w:rPr>
          <w:i/>
        </w:rPr>
        <w:t xml:space="preserve">Drugs, </w:t>
      </w:r>
      <w:r w:rsidRPr="00915A3E">
        <w:t xml:space="preserve">vol. 67, no. 13, pp. 1947-67, 2007, </w:t>
      </w:r>
      <w:proofErr w:type="spellStart"/>
      <w:r w:rsidRPr="00915A3E">
        <w:t>doi</w:t>
      </w:r>
      <w:proofErr w:type="spellEnd"/>
      <w:r w:rsidRPr="00915A3E">
        <w:t>: 10.2165/00003495-200767130-00015.</w:t>
      </w:r>
    </w:p>
    <w:p w14:paraId="4A110A61" w14:textId="6EF0D762" w:rsidR="00343B94" w:rsidRPr="00915A3E" w:rsidRDefault="00343B94" w:rsidP="00915A3E">
      <w:pPr>
        <w:pStyle w:val="MDPI71References"/>
      </w:pPr>
      <w:r w:rsidRPr="00915A3E">
        <w:t xml:space="preserve">S. Aslam and D. M. Musher, "Nitazoxanide: clinical studies of a broad-spectrum anti-infective agent," (in </w:t>
      </w:r>
      <w:proofErr w:type="spellStart"/>
      <w:r w:rsidRPr="00915A3E">
        <w:t>eng</w:t>
      </w:r>
      <w:proofErr w:type="spellEnd"/>
      <w:r w:rsidRPr="00915A3E">
        <w:t xml:space="preserve">), </w:t>
      </w:r>
      <w:r w:rsidRPr="00915A3E">
        <w:rPr>
          <w:i/>
        </w:rPr>
        <w:t xml:space="preserve">Future </w:t>
      </w:r>
      <w:proofErr w:type="spellStart"/>
      <w:r w:rsidRPr="00915A3E">
        <w:rPr>
          <w:i/>
        </w:rPr>
        <w:t>Microbiol</w:t>
      </w:r>
      <w:proofErr w:type="spellEnd"/>
      <w:r w:rsidRPr="00915A3E">
        <w:rPr>
          <w:i/>
        </w:rPr>
        <w:t xml:space="preserve">, </w:t>
      </w:r>
      <w:r w:rsidRPr="00915A3E">
        <w:t xml:space="preserve">vol. 2, no. 6, pp. 583-90, Dec 2007, </w:t>
      </w:r>
      <w:proofErr w:type="spellStart"/>
      <w:r w:rsidRPr="00915A3E">
        <w:t>doi</w:t>
      </w:r>
      <w:proofErr w:type="spellEnd"/>
      <w:r w:rsidRPr="00915A3E">
        <w:t>: 10.2217/17460913.2.6.583.</w:t>
      </w:r>
    </w:p>
    <w:p w14:paraId="0AC7F51F" w14:textId="2883CA35" w:rsidR="00343B94" w:rsidRPr="00915A3E" w:rsidRDefault="00343B94" w:rsidP="00915A3E">
      <w:pPr>
        <w:pStyle w:val="MDPI71References"/>
      </w:pPr>
      <w:r w:rsidRPr="00915A3E">
        <w:t xml:space="preserve">J. C. Chero, M. Saito, J. A. Bustos, E. M. Blanco, G. </w:t>
      </w:r>
      <w:proofErr w:type="spellStart"/>
      <w:r w:rsidRPr="00915A3E">
        <w:t>Gonzalvez</w:t>
      </w:r>
      <w:proofErr w:type="spellEnd"/>
      <w:r w:rsidRPr="00915A3E">
        <w:t>, and H. H. Garcia, "</w:t>
      </w:r>
      <w:proofErr w:type="spellStart"/>
      <w:r w:rsidRPr="00915A3E">
        <w:t>Hymenolepis</w:t>
      </w:r>
      <w:proofErr w:type="spellEnd"/>
      <w:r w:rsidRPr="00915A3E">
        <w:t xml:space="preserve"> nana infection: symptoms and response to nitazoxanide in field conditions," (in </w:t>
      </w:r>
      <w:proofErr w:type="spellStart"/>
      <w:r w:rsidRPr="00915A3E">
        <w:t>eng</w:t>
      </w:r>
      <w:proofErr w:type="spellEnd"/>
      <w:r w:rsidRPr="00915A3E">
        <w:t xml:space="preserve">), </w:t>
      </w:r>
      <w:r w:rsidRPr="00915A3E">
        <w:rPr>
          <w:i/>
        </w:rPr>
        <w:t xml:space="preserve">Trans R Soc Trop Med </w:t>
      </w:r>
      <w:proofErr w:type="spellStart"/>
      <w:r w:rsidRPr="00915A3E">
        <w:rPr>
          <w:i/>
        </w:rPr>
        <w:t>Hyg</w:t>
      </w:r>
      <w:proofErr w:type="spellEnd"/>
      <w:r w:rsidRPr="00915A3E">
        <w:rPr>
          <w:i/>
        </w:rPr>
        <w:t xml:space="preserve">, </w:t>
      </w:r>
      <w:r w:rsidRPr="00915A3E">
        <w:t xml:space="preserve">vol. 101, no. 2, pp. 203-5, Feb 2007, </w:t>
      </w:r>
      <w:proofErr w:type="spellStart"/>
      <w:r w:rsidRPr="00915A3E">
        <w:t>doi</w:t>
      </w:r>
      <w:proofErr w:type="spellEnd"/>
      <w:r w:rsidRPr="00915A3E">
        <w:t>: 10.1016/j.trstmh.2006.04.004.</w:t>
      </w:r>
    </w:p>
    <w:p w14:paraId="34135D7C" w14:textId="62F1139E" w:rsidR="00343B94" w:rsidRPr="00915A3E" w:rsidRDefault="00343B94" w:rsidP="00915A3E">
      <w:pPr>
        <w:pStyle w:val="MDPI71References"/>
      </w:pPr>
      <w:r w:rsidRPr="00915A3E">
        <w:t>B. Speich</w:t>
      </w:r>
      <w:r w:rsidRPr="00915A3E">
        <w:rPr>
          <w:i/>
        </w:rPr>
        <w:t xml:space="preserve"> et al.</w:t>
      </w:r>
      <w:r w:rsidRPr="00915A3E">
        <w:t xml:space="preserve">, "Efficacy and safety of nitazoxanide, albendazole, and nitazoxanide-albendazole against Trichuris </w:t>
      </w:r>
      <w:proofErr w:type="spellStart"/>
      <w:r w:rsidRPr="00915A3E">
        <w:t>trichiura</w:t>
      </w:r>
      <w:proofErr w:type="spellEnd"/>
      <w:r w:rsidRPr="00915A3E">
        <w:t xml:space="preserve"> infection: a randomized controlled trial," (in </w:t>
      </w:r>
      <w:proofErr w:type="spellStart"/>
      <w:r w:rsidRPr="00915A3E">
        <w:t>eng</w:t>
      </w:r>
      <w:proofErr w:type="spellEnd"/>
      <w:r w:rsidRPr="00915A3E">
        <w:t xml:space="preserve">), </w:t>
      </w:r>
      <w:proofErr w:type="spellStart"/>
      <w:r w:rsidRPr="00915A3E">
        <w:rPr>
          <w:i/>
        </w:rPr>
        <w:t>PLoS</w:t>
      </w:r>
      <w:proofErr w:type="spellEnd"/>
      <w:r w:rsidRPr="00915A3E">
        <w:rPr>
          <w:i/>
        </w:rPr>
        <w:t xml:space="preserve"> </w:t>
      </w:r>
      <w:proofErr w:type="spellStart"/>
      <w:r w:rsidRPr="00915A3E">
        <w:rPr>
          <w:i/>
        </w:rPr>
        <w:t>Negl</w:t>
      </w:r>
      <w:proofErr w:type="spellEnd"/>
      <w:r w:rsidRPr="00915A3E">
        <w:rPr>
          <w:i/>
        </w:rPr>
        <w:t xml:space="preserve"> Trop Dis, </w:t>
      </w:r>
      <w:r w:rsidRPr="00915A3E">
        <w:t xml:space="preserve">vol. 6, no. 6, p. e1685, 2012, </w:t>
      </w:r>
      <w:proofErr w:type="spellStart"/>
      <w:r w:rsidRPr="00915A3E">
        <w:t>doi</w:t>
      </w:r>
      <w:proofErr w:type="spellEnd"/>
      <w:r w:rsidRPr="00915A3E">
        <w:t>: 10.1371/journal.pntd.0001685.</w:t>
      </w:r>
    </w:p>
    <w:p w14:paraId="65F632DD" w14:textId="558A6F5C" w:rsidR="00343B94" w:rsidRPr="00915A3E" w:rsidRDefault="00343B94" w:rsidP="00915A3E">
      <w:pPr>
        <w:pStyle w:val="MDPI71References"/>
      </w:pPr>
      <w:r w:rsidRPr="00915A3E">
        <w:t xml:space="preserve">A. S. Lokhande and P. V. Devarajan, "A review on possible mechanistic insights of Nitazoxanide for repurposing in COVID-19," (in </w:t>
      </w:r>
      <w:proofErr w:type="spellStart"/>
      <w:r w:rsidRPr="00915A3E">
        <w:t>eng</w:t>
      </w:r>
      <w:proofErr w:type="spellEnd"/>
      <w:r w:rsidRPr="00915A3E">
        <w:t xml:space="preserve">), </w:t>
      </w:r>
      <w:proofErr w:type="spellStart"/>
      <w:r w:rsidRPr="00915A3E">
        <w:rPr>
          <w:i/>
        </w:rPr>
        <w:t>Eur</w:t>
      </w:r>
      <w:proofErr w:type="spellEnd"/>
      <w:r w:rsidRPr="00915A3E">
        <w:rPr>
          <w:i/>
        </w:rPr>
        <w:t xml:space="preserve"> J </w:t>
      </w:r>
      <w:proofErr w:type="spellStart"/>
      <w:r w:rsidRPr="00915A3E">
        <w:rPr>
          <w:i/>
        </w:rPr>
        <w:t>Pharmacol</w:t>
      </w:r>
      <w:proofErr w:type="spellEnd"/>
      <w:r w:rsidRPr="00915A3E">
        <w:rPr>
          <w:i/>
        </w:rPr>
        <w:t xml:space="preserve">, </w:t>
      </w:r>
      <w:r w:rsidRPr="00915A3E">
        <w:t>vol. 891, p. 173748, Jan 15</w:t>
      </w:r>
      <w:proofErr w:type="gramStart"/>
      <w:r w:rsidRPr="00915A3E">
        <w:t xml:space="preserve"> 2021</w:t>
      </w:r>
      <w:proofErr w:type="gramEnd"/>
      <w:r w:rsidRPr="00915A3E">
        <w:t xml:space="preserve">, </w:t>
      </w:r>
      <w:proofErr w:type="spellStart"/>
      <w:r w:rsidRPr="00915A3E">
        <w:t>doi</w:t>
      </w:r>
      <w:proofErr w:type="spellEnd"/>
      <w:r w:rsidRPr="00915A3E">
        <w:t>: 10.1016/j.ejphar.2020.173748.</w:t>
      </w:r>
    </w:p>
    <w:p w14:paraId="310A39CE" w14:textId="3ADF09E5" w:rsidR="00343B94" w:rsidRPr="00915A3E" w:rsidRDefault="00343B94" w:rsidP="00915A3E">
      <w:pPr>
        <w:pStyle w:val="MDPI71References"/>
      </w:pPr>
      <w:r w:rsidRPr="00915A3E">
        <w:t xml:space="preserve">L. D. </w:t>
      </w:r>
      <w:proofErr w:type="spellStart"/>
      <w:r w:rsidRPr="00915A3E">
        <w:t>Jasenosky</w:t>
      </w:r>
      <w:proofErr w:type="spellEnd"/>
      <w:r w:rsidRPr="00915A3E">
        <w:rPr>
          <w:i/>
        </w:rPr>
        <w:t xml:space="preserve"> et al.</w:t>
      </w:r>
      <w:r w:rsidRPr="00915A3E">
        <w:t xml:space="preserve">, "The FDA-Approved Oral Drug Nitazoxanide Amplifies Host Antiviral Responses and Inhibits Ebola Virus," (in </w:t>
      </w:r>
      <w:proofErr w:type="spellStart"/>
      <w:r w:rsidRPr="00915A3E">
        <w:t>eng</w:t>
      </w:r>
      <w:proofErr w:type="spellEnd"/>
      <w:r w:rsidRPr="00915A3E">
        <w:t xml:space="preserve">), </w:t>
      </w:r>
      <w:proofErr w:type="spellStart"/>
      <w:r w:rsidRPr="00915A3E">
        <w:rPr>
          <w:i/>
        </w:rPr>
        <w:t>iScience</w:t>
      </w:r>
      <w:proofErr w:type="spellEnd"/>
      <w:r w:rsidRPr="00915A3E">
        <w:rPr>
          <w:i/>
        </w:rPr>
        <w:t xml:space="preserve">, </w:t>
      </w:r>
      <w:r w:rsidRPr="00915A3E">
        <w:t>vol. 19, pp. 1279-1290, Sep 27</w:t>
      </w:r>
      <w:proofErr w:type="gramStart"/>
      <w:r w:rsidRPr="00915A3E">
        <w:t xml:space="preserve"> 2019</w:t>
      </w:r>
      <w:proofErr w:type="gramEnd"/>
      <w:r w:rsidRPr="00915A3E">
        <w:t xml:space="preserve">, </w:t>
      </w:r>
      <w:proofErr w:type="spellStart"/>
      <w:r w:rsidRPr="00915A3E">
        <w:t>doi</w:t>
      </w:r>
      <w:proofErr w:type="spellEnd"/>
      <w:r w:rsidRPr="00915A3E">
        <w:t>: 10.1016/j.isci.2019.07.003.</w:t>
      </w:r>
    </w:p>
    <w:p w14:paraId="70584E6D" w14:textId="198B5822" w:rsidR="00343B94" w:rsidRPr="00915A3E" w:rsidRDefault="00343B94" w:rsidP="00915A3E">
      <w:pPr>
        <w:pStyle w:val="MDPI71References"/>
      </w:pPr>
      <w:r w:rsidRPr="00915A3E">
        <w:t xml:space="preserve">V. Hargest, B. Sharp, B. Livingston, V. Cortez, and S. Schultz-Cherry, "Astrovirus Replication Is Inhibited by Nitazoxanide In Vitro and In Vivo," (in </w:t>
      </w:r>
      <w:proofErr w:type="spellStart"/>
      <w:r w:rsidRPr="00915A3E">
        <w:t>eng</w:t>
      </w:r>
      <w:proofErr w:type="spellEnd"/>
      <w:r w:rsidRPr="00915A3E">
        <w:t xml:space="preserve">), </w:t>
      </w:r>
      <w:r w:rsidRPr="00915A3E">
        <w:rPr>
          <w:i/>
        </w:rPr>
        <w:t xml:space="preserve">J Virol, </w:t>
      </w:r>
      <w:r w:rsidRPr="00915A3E">
        <w:t>vol. 94, no. 5, Feb 14</w:t>
      </w:r>
      <w:proofErr w:type="gramStart"/>
      <w:r w:rsidRPr="00915A3E">
        <w:t xml:space="preserve"> 2020</w:t>
      </w:r>
      <w:proofErr w:type="gramEnd"/>
      <w:r w:rsidRPr="00915A3E">
        <w:t xml:space="preserve">, </w:t>
      </w:r>
      <w:proofErr w:type="spellStart"/>
      <w:r w:rsidRPr="00915A3E">
        <w:t>doi</w:t>
      </w:r>
      <w:proofErr w:type="spellEnd"/>
      <w:r w:rsidRPr="00915A3E">
        <w:t>: 10.1128/jvi.01706-19.</w:t>
      </w:r>
    </w:p>
    <w:p w14:paraId="06C5AD74" w14:textId="11C0BDD6" w:rsidR="00343B94" w:rsidRPr="00915A3E" w:rsidRDefault="00343B94" w:rsidP="00915A3E">
      <w:pPr>
        <w:pStyle w:val="MDPI71References"/>
      </w:pPr>
      <w:r w:rsidRPr="00915A3E">
        <w:t>Z. Zhao</w:t>
      </w:r>
      <w:r w:rsidRPr="00915A3E">
        <w:rPr>
          <w:i/>
        </w:rPr>
        <w:t xml:space="preserve"> et al.</w:t>
      </w:r>
      <w:r w:rsidRPr="00915A3E">
        <w:t>, "The pharmacokinetics of nitazoxanide active metabolite (</w:t>
      </w:r>
      <w:proofErr w:type="spellStart"/>
      <w:r w:rsidRPr="00915A3E">
        <w:t>tizoxanide</w:t>
      </w:r>
      <w:proofErr w:type="spellEnd"/>
      <w:r w:rsidRPr="00915A3E">
        <w:t xml:space="preserve">) in goats and its protein binding ability in vitro," </w:t>
      </w:r>
      <w:r w:rsidRPr="00915A3E">
        <w:rPr>
          <w:i/>
        </w:rPr>
        <w:t xml:space="preserve">Journal of Veterinary Pharmacology and Therapeutics, </w:t>
      </w:r>
      <w:r w:rsidRPr="00915A3E">
        <w:t xml:space="preserve">vol. 33, no. 2, pp. 147-153, 2010, </w:t>
      </w:r>
      <w:proofErr w:type="spellStart"/>
      <w:r w:rsidRPr="00915A3E">
        <w:t>doi</w:t>
      </w:r>
      <w:proofErr w:type="spellEnd"/>
      <w:r w:rsidRPr="00915A3E">
        <w:t>: https://doi.org/10.1111/j.1365-2885.2009.01119.x.</w:t>
      </w:r>
    </w:p>
    <w:p w14:paraId="689BE65F" w14:textId="2A3F7809" w:rsidR="00343B94" w:rsidRPr="00915A3E" w:rsidRDefault="00343B94" w:rsidP="00915A3E">
      <w:pPr>
        <w:pStyle w:val="MDPI71References"/>
      </w:pPr>
      <w:r w:rsidRPr="00915A3E">
        <w:t xml:space="preserve">A. V. </w:t>
      </w:r>
      <w:proofErr w:type="spellStart"/>
      <w:r w:rsidRPr="00915A3E">
        <w:t>Stachulski</w:t>
      </w:r>
      <w:proofErr w:type="spellEnd"/>
      <w:r w:rsidRPr="00915A3E">
        <w:rPr>
          <w:i/>
        </w:rPr>
        <w:t xml:space="preserve"> et al.</w:t>
      </w:r>
      <w:r w:rsidRPr="00915A3E">
        <w:t xml:space="preserve">, "Second-generation nitazoxanide derivatives: </w:t>
      </w:r>
      <w:proofErr w:type="spellStart"/>
      <w:r w:rsidRPr="00915A3E">
        <w:t>thiazolides</w:t>
      </w:r>
      <w:proofErr w:type="spellEnd"/>
      <w:r w:rsidRPr="00915A3E">
        <w:t xml:space="preserve"> are effective inhibitors of the influenza A virus," </w:t>
      </w:r>
      <w:r w:rsidRPr="00915A3E">
        <w:rPr>
          <w:i/>
        </w:rPr>
        <w:t xml:space="preserve">Future Medicinal Chemistry, </w:t>
      </w:r>
      <w:r w:rsidRPr="00915A3E">
        <w:t xml:space="preserve">vol. 10, no. 8, pp. 851-862, 2018, </w:t>
      </w:r>
      <w:proofErr w:type="spellStart"/>
      <w:r w:rsidRPr="00915A3E">
        <w:t>doi</w:t>
      </w:r>
      <w:proofErr w:type="spellEnd"/>
      <w:r w:rsidRPr="00915A3E">
        <w:t>: 10.4155/fmc-2017-0217.</w:t>
      </w:r>
    </w:p>
    <w:p w14:paraId="3FE1C34C" w14:textId="5FECBB13" w:rsidR="00343B94" w:rsidRPr="00915A3E" w:rsidRDefault="00343B94" w:rsidP="00915A3E">
      <w:pPr>
        <w:pStyle w:val="MDPI71References"/>
      </w:pPr>
      <w:r w:rsidRPr="00915A3E">
        <w:t>M. Wang</w:t>
      </w:r>
      <w:r w:rsidRPr="00915A3E">
        <w:rPr>
          <w:i/>
        </w:rPr>
        <w:t xml:space="preserve"> et al.</w:t>
      </w:r>
      <w:r w:rsidRPr="00915A3E">
        <w:t xml:space="preserve">, "Remdesivir and chloroquine effectively inhibit the recently emerged novel coronavirus (2019-nCoV) in vitro," (in </w:t>
      </w:r>
      <w:proofErr w:type="spellStart"/>
      <w:r w:rsidRPr="00915A3E">
        <w:t>eng</w:t>
      </w:r>
      <w:proofErr w:type="spellEnd"/>
      <w:r w:rsidRPr="00915A3E">
        <w:t xml:space="preserve">), </w:t>
      </w:r>
      <w:r w:rsidRPr="00915A3E">
        <w:rPr>
          <w:i/>
        </w:rPr>
        <w:t xml:space="preserve">Cell Res, </w:t>
      </w:r>
      <w:r w:rsidRPr="00915A3E">
        <w:t xml:space="preserve">vol. 30, no. 3, pp. 269-271, Mar 2020, </w:t>
      </w:r>
      <w:proofErr w:type="spellStart"/>
      <w:r w:rsidRPr="00915A3E">
        <w:t>doi</w:t>
      </w:r>
      <w:proofErr w:type="spellEnd"/>
      <w:r w:rsidRPr="00915A3E">
        <w:t>: 10.1038/s41422-020-0282-0.</w:t>
      </w:r>
    </w:p>
    <w:p w14:paraId="530E0CF4" w14:textId="17D19E86" w:rsidR="00343B94" w:rsidRPr="00915A3E" w:rsidRDefault="00343B94" w:rsidP="00915A3E">
      <w:pPr>
        <w:pStyle w:val="MDPI71References"/>
      </w:pPr>
      <w:r w:rsidRPr="00915A3E">
        <w:t xml:space="preserve">R. K. R. </w:t>
      </w:r>
      <w:proofErr w:type="spellStart"/>
      <w:r w:rsidRPr="00915A3E">
        <w:t>Rajoli</w:t>
      </w:r>
      <w:proofErr w:type="spellEnd"/>
      <w:r w:rsidRPr="00915A3E">
        <w:rPr>
          <w:i/>
        </w:rPr>
        <w:t xml:space="preserve"> et al.</w:t>
      </w:r>
      <w:r w:rsidRPr="00915A3E">
        <w:t xml:space="preserve">, "Dose prediction for repurposing nitazoxanide in SARS-CoV-2 treatment or chemoprophylaxis," </w:t>
      </w:r>
      <w:r w:rsidRPr="00915A3E">
        <w:rPr>
          <w:i/>
        </w:rPr>
        <w:t xml:space="preserve">British Journal of Clinical Pharmacology, </w:t>
      </w:r>
      <w:r w:rsidRPr="00915A3E">
        <w:t xml:space="preserve">vol. 87, no. 4, pp. 2078-2088, 2021, </w:t>
      </w:r>
      <w:proofErr w:type="spellStart"/>
      <w:r w:rsidRPr="00915A3E">
        <w:t>doi</w:t>
      </w:r>
      <w:proofErr w:type="spellEnd"/>
      <w:r w:rsidRPr="00915A3E">
        <w:t>: https://doi.org/10.1111/bcp.14619.</w:t>
      </w:r>
    </w:p>
    <w:p w14:paraId="5D13DE61" w14:textId="5FBB2D41" w:rsidR="00343B94" w:rsidRPr="00915A3E" w:rsidRDefault="00343B94" w:rsidP="00915A3E">
      <w:pPr>
        <w:pStyle w:val="MDPI71References"/>
      </w:pPr>
      <w:r w:rsidRPr="00915A3E">
        <w:t xml:space="preserve">A. </w:t>
      </w:r>
      <w:proofErr w:type="spellStart"/>
      <w:r w:rsidRPr="00915A3E">
        <w:t>Stockis</w:t>
      </w:r>
      <w:proofErr w:type="spellEnd"/>
      <w:r w:rsidRPr="00915A3E">
        <w:t xml:space="preserve">, A. M. Allemon, S. De Bruyn, and C. Gengler, "Nitazoxanide pharmacokinetics and tolerability in man using single ascending oral doses," (in </w:t>
      </w:r>
      <w:proofErr w:type="spellStart"/>
      <w:r w:rsidRPr="00915A3E">
        <w:t>eng</w:t>
      </w:r>
      <w:proofErr w:type="spellEnd"/>
      <w:r w:rsidRPr="00915A3E">
        <w:t xml:space="preserve">), </w:t>
      </w:r>
      <w:r w:rsidRPr="00915A3E">
        <w:rPr>
          <w:i/>
        </w:rPr>
        <w:t xml:space="preserve">Int J Clin </w:t>
      </w:r>
      <w:proofErr w:type="spellStart"/>
      <w:r w:rsidRPr="00915A3E">
        <w:rPr>
          <w:i/>
        </w:rPr>
        <w:t>Pharmacol</w:t>
      </w:r>
      <w:proofErr w:type="spellEnd"/>
      <w:r w:rsidRPr="00915A3E">
        <w:rPr>
          <w:i/>
        </w:rPr>
        <w:t xml:space="preserve"> Ther, </w:t>
      </w:r>
      <w:r w:rsidRPr="00915A3E">
        <w:t xml:space="preserve">vol. 40, no. 5, pp. 213-20, May 2002, </w:t>
      </w:r>
      <w:proofErr w:type="spellStart"/>
      <w:r w:rsidRPr="00915A3E">
        <w:t>doi</w:t>
      </w:r>
      <w:proofErr w:type="spellEnd"/>
      <w:r w:rsidRPr="00915A3E">
        <w:t>: 10.5414/cpp40213.</w:t>
      </w:r>
    </w:p>
    <w:p w14:paraId="5E472519" w14:textId="2AC407C2" w:rsidR="00343B94" w:rsidRPr="00915A3E" w:rsidRDefault="00343B94" w:rsidP="00915A3E">
      <w:pPr>
        <w:pStyle w:val="MDPI71References"/>
      </w:pPr>
      <w:r w:rsidRPr="00915A3E">
        <w:t xml:space="preserve">A. </w:t>
      </w:r>
      <w:proofErr w:type="spellStart"/>
      <w:r w:rsidRPr="00915A3E">
        <w:t>Stockis</w:t>
      </w:r>
      <w:proofErr w:type="spellEnd"/>
      <w:r w:rsidRPr="00915A3E">
        <w:t xml:space="preserve">, S. De Bruyn, C. Gengler, and D. </w:t>
      </w:r>
      <w:proofErr w:type="spellStart"/>
      <w:r w:rsidRPr="00915A3E">
        <w:t>Rosillon</w:t>
      </w:r>
      <w:proofErr w:type="spellEnd"/>
      <w:r w:rsidRPr="00915A3E">
        <w:t xml:space="preserve">, "Nitazoxanide pharmacokinetics and tolerability in man </w:t>
      </w:r>
      <w:proofErr w:type="gramStart"/>
      <w:r w:rsidRPr="00915A3E">
        <w:t>during</w:t>
      </w:r>
      <w:proofErr w:type="gramEnd"/>
      <w:r w:rsidRPr="00915A3E">
        <w:t xml:space="preserve"> 7 days dosing with 0.5 g and 1 g </w:t>
      </w:r>
      <w:proofErr w:type="spellStart"/>
      <w:r w:rsidRPr="00915A3E">
        <w:t>b.i.d</w:t>
      </w:r>
      <w:proofErr w:type="spellEnd"/>
      <w:r w:rsidRPr="00915A3E">
        <w:t xml:space="preserve">," (in </w:t>
      </w:r>
      <w:proofErr w:type="spellStart"/>
      <w:r w:rsidRPr="00915A3E">
        <w:t>eng</w:t>
      </w:r>
      <w:proofErr w:type="spellEnd"/>
      <w:r w:rsidRPr="00915A3E">
        <w:t xml:space="preserve">), </w:t>
      </w:r>
      <w:r w:rsidRPr="00915A3E">
        <w:rPr>
          <w:i/>
        </w:rPr>
        <w:t xml:space="preserve">Int J Clin </w:t>
      </w:r>
      <w:proofErr w:type="spellStart"/>
      <w:r w:rsidRPr="00915A3E">
        <w:rPr>
          <w:i/>
        </w:rPr>
        <w:t>Pharmacol</w:t>
      </w:r>
      <w:proofErr w:type="spellEnd"/>
      <w:r w:rsidRPr="00915A3E">
        <w:rPr>
          <w:i/>
        </w:rPr>
        <w:t xml:space="preserve"> Ther, </w:t>
      </w:r>
      <w:r w:rsidRPr="00915A3E">
        <w:t xml:space="preserve">vol. 40, no. 5, pp. 221-7, May 2002, </w:t>
      </w:r>
      <w:proofErr w:type="spellStart"/>
      <w:r w:rsidRPr="00915A3E">
        <w:t>doi</w:t>
      </w:r>
      <w:proofErr w:type="spellEnd"/>
      <w:r w:rsidRPr="00915A3E">
        <w:t>: 10.5414/cpp40221.</w:t>
      </w:r>
    </w:p>
    <w:p w14:paraId="6A672591" w14:textId="3D6A5B98" w:rsidR="00343B94" w:rsidRPr="00915A3E" w:rsidRDefault="00343B94" w:rsidP="00915A3E">
      <w:pPr>
        <w:pStyle w:val="MDPI71References"/>
      </w:pPr>
      <w:r w:rsidRPr="00915A3E">
        <w:t>L. E. Walker</w:t>
      </w:r>
      <w:r w:rsidRPr="00915A3E">
        <w:rPr>
          <w:i/>
        </w:rPr>
        <w:t xml:space="preserve"> et al.</w:t>
      </w:r>
      <w:r w:rsidRPr="00915A3E">
        <w:t xml:space="preserve">, "An Open Label, Adaptive, Phase 1 Trial of High-Dose Oral Nitazoxanide in Healthy Volunteers: An Antiviral Candidate for SARS-CoV-2," (in </w:t>
      </w:r>
      <w:proofErr w:type="spellStart"/>
      <w:r w:rsidRPr="00915A3E">
        <w:t>eng</w:t>
      </w:r>
      <w:proofErr w:type="spellEnd"/>
      <w:r w:rsidRPr="00915A3E">
        <w:t xml:space="preserve">), </w:t>
      </w:r>
      <w:r w:rsidRPr="00915A3E">
        <w:rPr>
          <w:i/>
        </w:rPr>
        <w:t xml:space="preserve">Clin </w:t>
      </w:r>
      <w:proofErr w:type="spellStart"/>
      <w:r w:rsidRPr="00915A3E">
        <w:rPr>
          <w:i/>
        </w:rPr>
        <w:t>Pharmacol</w:t>
      </w:r>
      <w:proofErr w:type="spellEnd"/>
      <w:r w:rsidRPr="00915A3E">
        <w:rPr>
          <w:i/>
        </w:rPr>
        <w:t xml:space="preserve"> Ther, </w:t>
      </w:r>
      <w:r w:rsidRPr="00915A3E">
        <w:t xml:space="preserve">vol. 111, no. 3, pp. 585-594, Mar 2022, </w:t>
      </w:r>
      <w:proofErr w:type="spellStart"/>
      <w:r w:rsidRPr="00915A3E">
        <w:t>doi</w:t>
      </w:r>
      <w:proofErr w:type="spellEnd"/>
      <w:r w:rsidRPr="00915A3E">
        <w:t>: 10.1002/cpt.2463.</w:t>
      </w:r>
    </w:p>
    <w:p w14:paraId="121924B0" w14:textId="34489FF3" w:rsidR="00343B94" w:rsidRPr="00915A3E" w:rsidRDefault="00343B94" w:rsidP="00915A3E">
      <w:pPr>
        <w:pStyle w:val="MDPI71References"/>
      </w:pPr>
      <w:r w:rsidRPr="00915A3E">
        <w:t>K. F. Walsh</w:t>
      </w:r>
      <w:r w:rsidRPr="00915A3E">
        <w:rPr>
          <w:i/>
        </w:rPr>
        <w:t xml:space="preserve"> et al.</w:t>
      </w:r>
      <w:r w:rsidRPr="00915A3E">
        <w:t xml:space="preserve">, "Early Bactericidal Activity Trial of Nitazoxanide for Pulmonary Tuberculosis," </w:t>
      </w:r>
      <w:r w:rsidRPr="00915A3E">
        <w:rPr>
          <w:i/>
        </w:rPr>
        <w:t xml:space="preserve">Antimicrobial Agents and Chemotherapy, </w:t>
      </w:r>
      <w:r w:rsidRPr="00915A3E">
        <w:t xml:space="preserve">vol. 64, no. 5, pp. 10.1128/aac.01956-19, 2020, </w:t>
      </w:r>
      <w:proofErr w:type="spellStart"/>
      <w:r w:rsidRPr="00915A3E">
        <w:t>doi</w:t>
      </w:r>
      <w:proofErr w:type="spellEnd"/>
      <w:r w:rsidRPr="00915A3E">
        <w:t>: doi:10.1128/aac.01956-19.</w:t>
      </w:r>
    </w:p>
    <w:p w14:paraId="69A134D3" w14:textId="612CFCED" w:rsidR="00343B94" w:rsidRPr="00915A3E" w:rsidRDefault="00343B94" w:rsidP="00915A3E">
      <w:pPr>
        <w:pStyle w:val="MDPI71References"/>
      </w:pPr>
      <w:r w:rsidRPr="00915A3E">
        <w:t xml:space="preserve">E. Salama, A. C. Eke, B. M. Best, M. </w:t>
      </w:r>
      <w:proofErr w:type="spellStart"/>
      <w:r w:rsidRPr="00915A3E">
        <w:t>Mirochnick</w:t>
      </w:r>
      <w:proofErr w:type="spellEnd"/>
      <w:r w:rsidRPr="00915A3E">
        <w:t xml:space="preserve">, and J. D. Momper, "Pharmacokinetic Enhancement of HIV Antiretroviral Therapy During Pregnancy," (in </w:t>
      </w:r>
      <w:proofErr w:type="spellStart"/>
      <w:r w:rsidRPr="00915A3E">
        <w:t>eng</w:t>
      </w:r>
      <w:proofErr w:type="spellEnd"/>
      <w:r w:rsidRPr="00915A3E">
        <w:t xml:space="preserve">), </w:t>
      </w:r>
      <w:r w:rsidRPr="00915A3E">
        <w:rPr>
          <w:i/>
        </w:rPr>
        <w:t xml:space="preserve">J Clin </w:t>
      </w:r>
      <w:proofErr w:type="spellStart"/>
      <w:r w:rsidRPr="00915A3E">
        <w:rPr>
          <w:i/>
        </w:rPr>
        <w:t>Pharmacol</w:t>
      </w:r>
      <w:proofErr w:type="spellEnd"/>
      <w:r w:rsidRPr="00915A3E">
        <w:rPr>
          <w:i/>
        </w:rPr>
        <w:t xml:space="preserve">, </w:t>
      </w:r>
      <w:r w:rsidRPr="00915A3E">
        <w:t xml:space="preserve">vol. 60, no. 12, pp. 1537-1550, Dec 2020, </w:t>
      </w:r>
      <w:proofErr w:type="spellStart"/>
      <w:r w:rsidRPr="00915A3E">
        <w:t>doi</w:t>
      </w:r>
      <w:proofErr w:type="spellEnd"/>
      <w:r w:rsidRPr="00915A3E">
        <w:t>: 10.1002/jcph.1714.</w:t>
      </w:r>
    </w:p>
    <w:p w14:paraId="68746807" w14:textId="15EFED29" w:rsidR="00343B94" w:rsidRPr="00915A3E" w:rsidRDefault="00343B94" w:rsidP="00915A3E">
      <w:pPr>
        <w:pStyle w:val="MDPI71References"/>
      </w:pPr>
      <w:r w:rsidRPr="00915A3E">
        <w:t xml:space="preserve">K. B. Larson, K. Wang, C. Delille, I. </w:t>
      </w:r>
      <w:proofErr w:type="spellStart"/>
      <w:r w:rsidRPr="00915A3E">
        <w:t>Otofokun</w:t>
      </w:r>
      <w:proofErr w:type="spellEnd"/>
      <w:r w:rsidRPr="00915A3E">
        <w:t xml:space="preserve">, and E. P. Acosta, "Pharmacokinetic enhancers in HIV therapeutics," (in </w:t>
      </w:r>
      <w:proofErr w:type="spellStart"/>
      <w:r w:rsidRPr="00915A3E">
        <w:t>eng</w:t>
      </w:r>
      <w:proofErr w:type="spellEnd"/>
      <w:r w:rsidRPr="00915A3E">
        <w:t xml:space="preserve">), </w:t>
      </w:r>
      <w:r w:rsidRPr="00915A3E">
        <w:rPr>
          <w:i/>
        </w:rPr>
        <w:t xml:space="preserve">Clin </w:t>
      </w:r>
      <w:proofErr w:type="spellStart"/>
      <w:r w:rsidRPr="00915A3E">
        <w:rPr>
          <w:i/>
        </w:rPr>
        <w:t>Pharmacokinet</w:t>
      </w:r>
      <w:proofErr w:type="spellEnd"/>
      <w:r w:rsidRPr="00915A3E">
        <w:rPr>
          <w:i/>
        </w:rPr>
        <w:t xml:space="preserve">, </w:t>
      </w:r>
      <w:r w:rsidRPr="00915A3E">
        <w:t xml:space="preserve">vol. 53, no. 10, pp. 865-72, Oct 2014, </w:t>
      </w:r>
      <w:proofErr w:type="spellStart"/>
      <w:r w:rsidRPr="00915A3E">
        <w:t>doi</w:t>
      </w:r>
      <w:proofErr w:type="spellEnd"/>
      <w:r w:rsidRPr="00915A3E">
        <w:t>: 10.1007/s40262-014-0167-9.</w:t>
      </w:r>
    </w:p>
    <w:p w14:paraId="54C7CB87" w14:textId="306A084D" w:rsidR="00343B94" w:rsidRPr="00915A3E" w:rsidRDefault="00343B94" w:rsidP="00915A3E">
      <w:pPr>
        <w:pStyle w:val="MDPI71References"/>
      </w:pPr>
      <w:r w:rsidRPr="00915A3E">
        <w:t xml:space="preserve">N. Westra, D. Touw, M. </w:t>
      </w:r>
      <w:proofErr w:type="spellStart"/>
      <w:r w:rsidRPr="00915A3E">
        <w:t>Lub</w:t>
      </w:r>
      <w:proofErr w:type="spellEnd"/>
      <w:r w:rsidRPr="00915A3E">
        <w:t xml:space="preserve">-de Hooge, J. </w:t>
      </w:r>
      <w:proofErr w:type="spellStart"/>
      <w:r w:rsidRPr="00915A3E">
        <w:t>Kosterink</w:t>
      </w:r>
      <w:proofErr w:type="spellEnd"/>
      <w:r w:rsidRPr="00915A3E">
        <w:t xml:space="preserve">, and T. Oude Munnink, "Pharmacokinetic Boosting of Kinase Inhibitors," (in </w:t>
      </w:r>
      <w:proofErr w:type="spellStart"/>
      <w:r w:rsidRPr="00915A3E">
        <w:t>eng</w:t>
      </w:r>
      <w:proofErr w:type="spellEnd"/>
      <w:r w:rsidRPr="00915A3E">
        <w:t xml:space="preserve">), </w:t>
      </w:r>
      <w:r w:rsidRPr="00915A3E">
        <w:rPr>
          <w:i/>
        </w:rPr>
        <w:t xml:space="preserve">Pharmaceutics, </w:t>
      </w:r>
      <w:r w:rsidRPr="00915A3E">
        <w:t>vol. 15, no. 4, Apr 5</w:t>
      </w:r>
      <w:proofErr w:type="gramStart"/>
      <w:r w:rsidRPr="00915A3E">
        <w:t xml:space="preserve"> 2023</w:t>
      </w:r>
      <w:proofErr w:type="gramEnd"/>
      <w:r w:rsidRPr="00915A3E">
        <w:t xml:space="preserve">, </w:t>
      </w:r>
      <w:proofErr w:type="spellStart"/>
      <w:r w:rsidRPr="00915A3E">
        <w:t>doi</w:t>
      </w:r>
      <w:proofErr w:type="spellEnd"/>
      <w:r w:rsidRPr="00915A3E">
        <w:t>: 10.3390/pharmaceutics15041149.</w:t>
      </w:r>
    </w:p>
    <w:p w14:paraId="0FD7E4F8" w14:textId="6ECD339B" w:rsidR="00343B94" w:rsidRPr="00915A3E" w:rsidRDefault="00343B94" w:rsidP="00915A3E">
      <w:pPr>
        <w:pStyle w:val="MDPI71References"/>
      </w:pPr>
      <w:r w:rsidRPr="00915A3E">
        <w:t xml:space="preserve">A. van </w:t>
      </w:r>
      <w:proofErr w:type="spellStart"/>
      <w:r w:rsidRPr="00915A3E">
        <w:t>Veelen</w:t>
      </w:r>
      <w:proofErr w:type="spellEnd"/>
      <w:r w:rsidRPr="00915A3E">
        <w:rPr>
          <w:i/>
        </w:rPr>
        <w:t xml:space="preserve"> et al.</w:t>
      </w:r>
      <w:r w:rsidRPr="00915A3E">
        <w:t xml:space="preserve">, "Pharmacokinetic boosting of </w:t>
      </w:r>
      <w:proofErr w:type="spellStart"/>
      <w:r w:rsidRPr="00915A3E">
        <w:t>osimertinib</w:t>
      </w:r>
      <w:proofErr w:type="spellEnd"/>
      <w:r w:rsidRPr="00915A3E">
        <w:t xml:space="preserve"> with cobicistat in patients with non-small cell lung cancer: The OSIBOOST trial," (in </w:t>
      </w:r>
      <w:proofErr w:type="spellStart"/>
      <w:r w:rsidRPr="00915A3E">
        <w:t>eng</w:t>
      </w:r>
      <w:proofErr w:type="spellEnd"/>
      <w:r w:rsidRPr="00915A3E">
        <w:t xml:space="preserve">), </w:t>
      </w:r>
      <w:r w:rsidRPr="00915A3E">
        <w:rPr>
          <w:i/>
        </w:rPr>
        <w:t xml:space="preserve">Lung Cancer, </w:t>
      </w:r>
      <w:r w:rsidRPr="00915A3E">
        <w:t xml:space="preserve">vol. 171, pp. 97-102, Sep 2022, </w:t>
      </w:r>
      <w:proofErr w:type="spellStart"/>
      <w:r w:rsidRPr="00915A3E">
        <w:t>doi</w:t>
      </w:r>
      <w:proofErr w:type="spellEnd"/>
      <w:r w:rsidRPr="00915A3E">
        <w:t>: 10.1016/j.lungcan.2022.07.012.</w:t>
      </w:r>
    </w:p>
    <w:p w14:paraId="6877B949" w14:textId="5141C602" w:rsidR="00343B94" w:rsidRPr="00915A3E" w:rsidRDefault="00343B94" w:rsidP="00915A3E">
      <w:pPr>
        <w:pStyle w:val="MDPI71References"/>
      </w:pPr>
      <w:r w:rsidRPr="00915A3E">
        <w:t xml:space="preserve">R. J. </w:t>
      </w:r>
      <w:proofErr w:type="spellStart"/>
      <w:r w:rsidRPr="00915A3E">
        <w:t>Boosman</w:t>
      </w:r>
      <w:proofErr w:type="spellEnd"/>
      <w:r w:rsidRPr="00915A3E">
        <w:rPr>
          <w:i/>
        </w:rPr>
        <w:t xml:space="preserve"> et al.</w:t>
      </w:r>
      <w:r w:rsidRPr="00915A3E">
        <w:t xml:space="preserve">, "Ritonavir-Boosted Exposure of Kinase Inhibitors: an Open Label, Cross-over Pharmacokinetic Proof-of-Concept Trial with Erlotinib," (in </w:t>
      </w:r>
      <w:proofErr w:type="spellStart"/>
      <w:r w:rsidRPr="00915A3E">
        <w:t>eng</w:t>
      </w:r>
      <w:proofErr w:type="spellEnd"/>
      <w:r w:rsidRPr="00915A3E">
        <w:t xml:space="preserve">), </w:t>
      </w:r>
      <w:r w:rsidRPr="00915A3E">
        <w:rPr>
          <w:i/>
        </w:rPr>
        <w:t xml:space="preserve">Pharm Res, </w:t>
      </w:r>
      <w:r w:rsidRPr="00915A3E">
        <w:t xml:space="preserve">vol. 39, no. 4, pp. 669-676, Apr 2022, </w:t>
      </w:r>
      <w:proofErr w:type="spellStart"/>
      <w:r w:rsidRPr="00915A3E">
        <w:t>doi</w:t>
      </w:r>
      <w:proofErr w:type="spellEnd"/>
      <w:r w:rsidRPr="00915A3E">
        <w:t>: 10.1007/s11095-022-03244-8.</w:t>
      </w:r>
    </w:p>
    <w:p w14:paraId="540C1264" w14:textId="63560893" w:rsidR="00343B94" w:rsidRPr="00915A3E" w:rsidRDefault="00343B94" w:rsidP="00915A3E">
      <w:pPr>
        <w:pStyle w:val="MDPI71References"/>
      </w:pPr>
      <w:r w:rsidRPr="00915A3E">
        <w:t xml:space="preserve">D. Zhang, T. J. Chando, D. W. Everett, C. J. Patten, S. S. Dehal, and W. G. Humphreys, "In vitro inhibition of UDP glucuronosyltransferases by atazanavir and other HIV protease inhibitors and the relationship of this property to in vivo bilirubin glucuronidation," (in </w:t>
      </w:r>
      <w:proofErr w:type="spellStart"/>
      <w:r w:rsidRPr="00915A3E">
        <w:t>eng</w:t>
      </w:r>
      <w:proofErr w:type="spellEnd"/>
      <w:r w:rsidRPr="00915A3E">
        <w:t xml:space="preserve">), </w:t>
      </w:r>
      <w:r w:rsidRPr="00915A3E">
        <w:rPr>
          <w:i/>
        </w:rPr>
        <w:t xml:space="preserve">Drug </w:t>
      </w:r>
      <w:proofErr w:type="spellStart"/>
      <w:r w:rsidRPr="00915A3E">
        <w:rPr>
          <w:i/>
        </w:rPr>
        <w:t>Metab</w:t>
      </w:r>
      <w:proofErr w:type="spellEnd"/>
      <w:r w:rsidRPr="00915A3E">
        <w:rPr>
          <w:i/>
        </w:rPr>
        <w:t xml:space="preserve"> </w:t>
      </w:r>
      <w:proofErr w:type="spellStart"/>
      <w:r w:rsidRPr="00915A3E">
        <w:rPr>
          <w:i/>
        </w:rPr>
        <w:t>Dispos</w:t>
      </w:r>
      <w:proofErr w:type="spellEnd"/>
      <w:r w:rsidRPr="00915A3E">
        <w:rPr>
          <w:i/>
        </w:rPr>
        <w:t xml:space="preserve">, </w:t>
      </w:r>
      <w:r w:rsidRPr="00915A3E">
        <w:t xml:space="preserve">vol. 33, no. 11, pp. 1729-39, Nov 2005, </w:t>
      </w:r>
      <w:proofErr w:type="spellStart"/>
      <w:r w:rsidRPr="00915A3E">
        <w:t>doi</w:t>
      </w:r>
      <w:proofErr w:type="spellEnd"/>
      <w:r w:rsidRPr="00915A3E">
        <w:t>: 10.1124/dmd.105.005447.</w:t>
      </w:r>
    </w:p>
    <w:p w14:paraId="6E2A5D3E" w14:textId="7693E509" w:rsidR="00343B94" w:rsidRPr="00915A3E" w:rsidRDefault="00343B94" w:rsidP="00915A3E">
      <w:pPr>
        <w:pStyle w:val="MDPI71References"/>
      </w:pPr>
      <w:r w:rsidRPr="00915A3E">
        <w:t>M. Neary</w:t>
      </w:r>
      <w:r w:rsidRPr="00915A3E">
        <w:rPr>
          <w:i/>
        </w:rPr>
        <w:t xml:space="preserve"> et al.</w:t>
      </w:r>
      <w:r w:rsidRPr="00915A3E">
        <w:t xml:space="preserve">, "Quantitation of </w:t>
      </w:r>
      <w:proofErr w:type="spellStart"/>
      <w:r w:rsidRPr="00915A3E">
        <w:t>tizoxanide</w:t>
      </w:r>
      <w:proofErr w:type="spellEnd"/>
      <w:r w:rsidRPr="00915A3E">
        <w:t xml:space="preserve"> in multiple matrices to support cell culture, animal and human research," (in </w:t>
      </w:r>
      <w:proofErr w:type="spellStart"/>
      <w:r w:rsidRPr="00915A3E">
        <w:t>eng</w:t>
      </w:r>
      <w:proofErr w:type="spellEnd"/>
      <w:r w:rsidRPr="00915A3E">
        <w:t xml:space="preserve">), </w:t>
      </w:r>
      <w:r w:rsidRPr="00915A3E">
        <w:rPr>
          <w:i/>
        </w:rPr>
        <w:t xml:space="preserve">J </w:t>
      </w:r>
      <w:proofErr w:type="spellStart"/>
      <w:r w:rsidRPr="00915A3E">
        <w:rPr>
          <w:i/>
        </w:rPr>
        <w:t>Chromatogr</w:t>
      </w:r>
      <w:proofErr w:type="spellEnd"/>
      <w:r w:rsidRPr="00915A3E">
        <w:rPr>
          <w:i/>
        </w:rPr>
        <w:t xml:space="preserve"> B </w:t>
      </w:r>
      <w:proofErr w:type="spellStart"/>
      <w:r w:rsidRPr="00915A3E">
        <w:rPr>
          <w:i/>
        </w:rPr>
        <w:t>Analyt</w:t>
      </w:r>
      <w:proofErr w:type="spellEnd"/>
      <w:r w:rsidRPr="00915A3E">
        <w:rPr>
          <w:i/>
        </w:rPr>
        <w:t xml:space="preserve"> Technol Biomed Life Sci, </w:t>
      </w:r>
      <w:r w:rsidRPr="00915A3E">
        <w:t>vol. 1228, p. 123823, Jul 16</w:t>
      </w:r>
      <w:proofErr w:type="gramStart"/>
      <w:r w:rsidRPr="00915A3E">
        <w:t xml:space="preserve"> 2023</w:t>
      </w:r>
      <w:proofErr w:type="gramEnd"/>
      <w:r w:rsidRPr="00915A3E">
        <w:t xml:space="preserve">, </w:t>
      </w:r>
      <w:proofErr w:type="spellStart"/>
      <w:r w:rsidRPr="00915A3E">
        <w:t>doi</w:t>
      </w:r>
      <w:proofErr w:type="spellEnd"/>
      <w:r w:rsidRPr="00915A3E">
        <w:t>: 10.1016/j.jchromb.2023.123823.</w:t>
      </w:r>
    </w:p>
    <w:p w14:paraId="6A480856" w14:textId="22C69138" w:rsidR="00343B94" w:rsidRPr="00915A3E" w:rsidRDefault="00343B94" w:rsidP="00915A3E">
      <w:pPr>
        <w:pStyle w:val="MDPI71References"/>
      </w:pPr>
      <w:r w:rsidRPr="00915A3E">
        <w:t xml:space="preserve">FDA, "Bioanalytical Method Validation; Guidance for Industry; Availability," Federal Information &amp; News Dispatch, LLC, Washington, 0097-6326, 2018, vol. 83. </w:t>
      </w:r>
    </w:p>
    <w:p w14:paraId="6874ABF9" w14:textId="36BDCA11" w:rsidR="00343B94" w:rsidRPr="00915A3E" w:rsidRDefault="00343B94" w:rsidP="00915A3E">
      <w:pPr>
        <w:pStyle w:val="MDPI71References"/>
      </w:pPr>
      <w:r w:rsidRPr="00915A3E">
        <w:t xml:space="preserve">(2020). Federal Notice: Clinical Drug Interaction Studies-Cytochrome P450 Enzyme- and Transporter-Mediated Drug Interactions and In Vitro Drug Interaction Studies-Cytochrome P450 Enzyme- and Transporter-Mediated Drug Interactions. </w:t>
      </w:r>
    </w:p>
    <w:p w14:paraId="5EF65C67" w14:textId="29FDB4E9" w:rsidR="00343B94" w:rsidRPr="00915A3E" w:rsidRDefault="00343B94" w:rsidP="00915A3E">
      <w:pPr>
        <w:pStyle w:val="MDPI71References"/>
      </w:pPr>
      <w:r w:rsidRPr="00915A3E">
        <w:t xml:space="preserve">W. Li and F. L. S. </w:t>
      </w:r>
      <w:proofErr w:type="spellStart"/>
      <w:r w:rsidRPr="00915A3E">
        <w:t>Tse</w:t>
      </w:r>
      <w:proofErr w:type="spellEnd"/>
      <w:r w:rsidRPr="00915A3E">
        <w:t xml:space="preserve">, "Dried blood spot sampling in combination with LC-MS/MS for quantitative analysis of small molecules," </w:t>
      </w:r>
      <w:r w:rsidRPr="00915A3E">
        <w:rPr>
          <w:i/>
        </w:rPr>
        <w:t xml:space="preserve">Biomedical Chromatography, </w:t>
      </w:r>
      <w:r w:rsidRPr="00915A3E">
        <w:t xml:space="preserve">vol. 24, no. 1, pp. 49-65, 2010, </w:t>
      </w:r>
      <w:proofErr w:type="spellStart"/>
      <w:r w:rsidRPr="00915A3E">
        <w:t>doi</w:t>
      </w:r>
      <w:proofErr w:type="spellEnd"/>
      <w:r w:rsidRPr="00915A3E">
        <w:t>: https://doi.org/10.1002/bmc.1367.</w:t>
      </w:r>
    </w:p>
    <w:p w14:paraId="2C43B94E" w14:textId="0512141B" w:rsidR="00343B94" w:rsidRPr="00915A3E" w:rsidRDefault="00343B94" w:rsidP="00915A3E">
      <w:pPr>
        <w:pStyle w:val="MDPI71References"/>
      </w:pPr>
      <w:r w:rsidRPr="00915A3E">
        <w:t xml:space="preserve">H. Mondal and S. </w:t>
      </w:r>
      <w:proofErr w:type="spellStart"/>
      <w:r w:rsidRPr="00915A3E">
        <w:t>Lotfollahzadeh</w:t>
      </w:r>
      <w:proofErr w:type="spellEnd"/>
      <w:r w:rsidRPr="00915A3E">
        <w:t xml:space="preserve">, "Hematocrit," in </w:t>
      </w:r>
      <w:proofErr w:type="spellStart"/>
      <w:r w:rsidRPr="00915A3E">
        <w:rPr>
          <w:i/>
        </w:rPr>
        <w:t>StatPearls</w:t>
      </w:r>
      <w:proofErr w:type="spellEnd"/>
      <w:r w:rsidRPr="00915A3E">
        <w:t xml:space="preserve">. Treasure Island (FL): </w:t>
      </w:r>
      <w:proofErr w:type="spellStart"/>
      <w:r w:rsidRPr="00915A3E">
        <w:t>StatPearls</w:t>
      </w:r>
      <w:proofErr w:type="spellEnd"/>
      <w:r w:rsidRPr="00915A3E">
        <w:t xml:space="preserve"> Publishing Copyright © 2023, </w:t>
      </w:r>
      <w:proofErr w:type="spellStart"/>
      <w:r w:rsidRPr="00915A3E">
        <w:t>StatPearls</w:t>
      </w:r>
      <w:proofErr w:type="spellEnd"/>
      <w:r w:rsidRPr="00915A3E">
        <w:t xml:space="preserve"> Publishing LLC., 2023.</w:t>
      </w:r>
    </w:p>
    <w:p w14:paraId="3D28AFAA" w14:textId="219A11E6" w:rsidR="00343B94" w:rsidRPr="00915A3E" w:rsidRDefault="00343B94" w:rsidP="00915A3E">
      <w:pPr>
        <w:pStyle w:val="MDPI71References"/>
      </w:pPr>
      <w:r w:rsidRPr="00915A3E">
        <w:lastRenderedPageBreak/>
        <w:t xml:space="preserve">E. Vets, J.-F. Rossignol, and A. S. Jackson, "Effects of nitazoxanide on pharmacokinetics and pharmacodynamics of a single dose of warfarin," </w:t>
      </w:r>
      <w:r w:rsidRPr="00915A3E">
        <w:rPr>
          <w:i/>
        </w:rPr>
        <w:t xml:space="preserve">American Journal of Health-System Pharmacy, </w:t>
      </w:r>
      <w:r w:rsidRPr="00915A3E">
        <w:t xml:space="preserve">vol. 66, no. 9, pp. 838-842, 2009, </w:t>
      </w:r>
      <w:proofErr w:type="spellStart"/>
      <w:r w:rsidRPr="00915A3E">
        <w:t>doi</w:t>
      </w:r>
      <w:proofErr w:type="spellEnd"/>
      <w:r w:rsidRPr="00915A3E">
        <w:t>: 10.2146/ajhp080332.</w:t>
      </w:r>
    </w:p>
    <w:p w14:paraId="5CE7EDCA" w14:textId="2EAD5FF9" w:rsidR="00343B94" w:rsidRPr="00915A3E" w:rsidRDefault="00343B94" w:rsidP="00915A3E">
      <w:pPr>
        <w:pStyle w:val="MDPI71References"/>
      </w:pPr>
      <w:r w:rsidRPr="00915A3E">
        <w:t xml:space="preserve">A. V. </w:t>
      </w:r>
      <w:proofErr w:type="spellStart"/>
      <w:r w:rsidRPr="00915A3E">
        <w:t>Stachulski</w:t>
      </w:r>
      <w:proofErr w:type="spellEnd"/>
      <w:r w:rsidRPr="00915A3E">
        <w:rPr>
          <w:i/>
        </w:rPr>
        <w:t xml:space="preserve"> et al.</w:t>
      </w:r>
      <w:r w:rsidRPr="00915A3E">
        <w:t>, "Therapeutic Potential of Nitazoxanide: An Appropriate Choice for Repurposing versus SARS-CoV-</w:t>
      </w:r>
      <w:proofErr w:type="gramStart"/>
      <w:r w:rsidRPr="00915A3E">
        <w:t>2?,</w:t>
      </w:r>
      <w:proofErr w:type="gramEnd"/>
      <w:r w:rsidRPr="00915A3E">
        <w:t xml:space="preserve">" (in </w:t>
      </w:r>
      <w:proofErr w:type="spellStart"/>
      <w:r w:rsidRPr="00915A3E">
        <w:t>eng</w:t>
      </w:r>
      <w:proofErr w:type="spellEnd"/>
      <w:r w:rsidRPr="00915A3E">
        <w:t xml:space="preserve">), </w:t>
      </w:r>
      <w:r w:rsidRPr="00915A3E">
        <w:rPr>
          <w:i/>
        </w:rPr>
        <w:t xml:space="preserve">ACS Infect Dis, </w:t>
      </w:r>
      <w:r w:rsidRPr="00915A3E">
        <w:t xml:space="preserve">vol. 7, no. 6, pp. 1317-1331, Jun 11 2021, </w:t>
      </w:r>
      <w:proofErr w:type="spellStart"/>
      <w:r w:rsidRPr="00915A3E">
        <w:t>doi</w:t>
      </w:r>
      <w:proofErr w:type="spellEnd"/>
      <w:r w:rsidRPr="00915A3E">
        <w:t>: 10.1021/acsinfecdis.0c00478.</w:t>
      </w:r>
    </w:p>
    <w:p w14:paraId="489A40D7" w14:textId="4C47AEDE" w:rsidR="00343B94" w:rsidRPr="00915A3E" w:rsidRDefault="00343B94" w:rsidP="00915A3E">
      <w:pPr>
        <w:pStyle w:val="MDPI71References"/>
      </w:pPr>
      <w:r w:rsidRPr="00915A3E">
        <w:t>V. F. Blum</w:t>
      </w:r>
      <w:r w:rsidRPr="00915A3E">
        <w:rPr>
          <w:i/>
        </w:rPr>
        <w:t xml:space="preserve"> et al.</w:t>
      </w:r>
      <w:r w:rsidRPr="00915A3E">
        <w:t xml:space="preserve">, "Nitazoxanide superiority to placebo to treat moderate COVID-19 - A Pilot prove of concept randomized double-blind clinical trial," (in </w:t>
      </w:r>
      <w:proofErr w:type="spellStart"/>
      <w:r w:rsidRPr="00915A3E">
        <w:t>eng</w:t>
      </w:r>
      <w:proofErr w:type="spellEnd"/>
      <w:r w:rsidRPr="00915A3E">
        <w:t xml:space="preserve">), </w:t>
      </w:r>
      <w:proofErr w:type="spellStart"/>
      <w:r w:rsidRPr="00915A3E">
        <w:rPr>
          <w:i/>
        </w:rPr>
        <w:t>EClinicalMedicine</w:t>
      </w:r>
      <w:proofErr w:type="spellEnd"/>
      <w:r w:rsidRPr="00915A3E">
        <w:rPr>
          <w:i/>
        </w:rPr>
        <w:t xml:space="preserve">, </w:t>
      </w:r>
      <w:r w:rsidRPr="00915A3E">
        <w:t xml:space="preserve">vol. 37, p. 100981, Jul 2021, </w:t>
      </w:r>
      <w:proofErr w:type="spellStart"/>
      <w:r w:rsidRPr="00915A3E">
        <w:t>doi</w:t>
      </w:r>
      <w:proofErr w:type="spellEnd"/>
      <w:r w:rsidRPr="00915A3E">
        <w:t>: 10.1016/j.eclinm.2021.100981.</w:t>
      </w:r>
    </w:p>
    <w:p w14:paraId="60B64581" w14:textId="750C6B90" w:rsidR="00343B94" w:rsidRPr="00915A3E" w:rsidRDefault="00343B94" w:rsidP="00915A3E">
      <w:pPr>
        <w:pStyle w:val="MDPI71References"/>
      </w:pPr>
      <w:r w:rsidRPr="00915A3E">
        <w:t>T. Bobrowski</w:t>
      </w:r>
      <w:r w:rsidRPr="00915A3E">
        <w:rPr>
          <w:i/>
        </w:rPr>
        <w:t xml:space="preserve"> et al.</w:t>
      </w:r>
      <w:r w:rsidRPr="00915A3E">
        <w:t xml:space="preserve">, "Synergistic and Antagonistic Drug Combinations against SARS-CoV-2," (in </w:t>
      </w:r>
      <w:proofErr w:type="spellStart"/>
      <w:r w:rsidRPr="00915A3E">
        <w:t>eng</w:t>
      </w:r>
      <w:proofErr w:type="spellEnd"/>
      <w:r w:rsidRPr="00915A3E">
        <w:t xml:space="preserve">), </w:t>
      </w:r>
      <w:r w:rsidRPr="00915A3E">
        <w:rPr>
          <w:i/>
        </w:rPr>
        <w:t xml:space="preserve">Mol Ther, </w:t>
      </w:r>
      <w:r w:rsidRPr="00915A3E">
        <w:t>vol. 29, no. 2, pp. 873-885, Feb 3</w:t>
      </w:r>
      <w:proofErr w:type="gramStart"/>
      <w:r w:rsidRPr="00915A3E">
        <w:t xml:space="preserve"> 2021</w:t>
      </w:r>
      <w:proofErr w:type="gramEnd"/>
      <w:r w:rsidRPr="00915A3E">
        <w:t xml:space="preserve">, </w:t>
      </w:r>
      <w:proofErr w:type="spellStart"/>
      <w:r w:rsidRPr="00915A3E">
        <w:t>doi</w:t>
      </w:r>
      <w:proofErr w:type="spellEnd"/>
      <w:r w:rsidRPr="00915A3E">
        <w:t>: 10.1016/j.ymthe.2020.12.016.</w:t>
      </w:r>
    </w:p>
    <w:p w14:paraId="4B95580E" w14:textId="7887693F" w:rsidR="00343B94" w:rsidRPr="00915A3E" w:rsidRDefault="00343B94" w:rsidP="00915A3E">
      <w:pPr>
        <w:pStyle w:val="MDPI71References"/>
      </w:pPr>
      <w:r w:rsidRPr="00915A3E">
        <w:t xml:space="preserve">N. </w:t>
      </w:r>
      <w:proofErr w:type="spellStart"/>
      <w:r w:rsidRPr="00915A3E">
        <w:t>Fintelman</w:t>
      </w:r>
      <w:proofErr w:type="spellEnd"/>
      <w:r w:rsidRPr="00915A3E">
        <w:t>-Rodrigues</w:t>
      </w:r>
      <w:r w:rsidRPr="00915A3E">
        <w:rPr>
          <w:i/>
        </w:rPr>
        <w:t xml:space="preserve"> et al.</w:t>
      </w:r>
      <w:r w:rsidRPr="00915A3E">
        <w:t xml:space="preserve">, "Atazanavir, Alone or in Combination with Ritonavir, Inhibits SARS-CoV-2 Replication and Proinflammatory Cytokine Production," (in </w:t>
      </w:r>
      <w:proofErr w:type="spellStart"/>
      <w:r w:rsidRPr="00915A3E">
        <w:t>eng</w:t>
      </w:r>
      <w:proofErr w:type="spellEnd"/>
      <w:r w:rsidRPr="00915A3E">
        <w:t xml:space="preserve">), </w:t>
      </w:r>
      <w:proofErr w:type="spellStart"/>
      <w:r w:rsidRPr="00915A3E">
        <w:rPr>
          <w:i/>
        </w:rPr>
        <w:t>Antimicrob</w:t>
      </w:r>
      <w:proofErr w:type="spellEnd"/>
      <w:r w:rsidRPr="00915A3E">
        <w:rPr>
          <w:i/>
        </w:rPr>
        <w:t xml:space="preserve"> Agents </w:t>
      </w:r>
      <w:proofErr w:type="spellStart"/>
      <w:r w:rsidRPr="00915A3E">
        <w:rPr>
          <w:i/>
        </w:rPr>
        <w:t>Chemother</w:t>
      </w:r>
      <w:proofErr w:type="spellEnd"/>
      <w:r w:rsidRPr="00915A3E">
        <w:rPr>
          <w:i/>
        </w:rPr>
        <w:t xml:space="preserve">, </w:t>
      </w:r>
      <w:r w:rsidRPr="00915A3E">
        <w:t>vol. 64, no. 10, Sep 21</w:t>
      </w:r>
      <w:proofErr w:type="gramStart"/>
      <w:r w:rsidRPr="00915A3E">
        <w:t xml:space="preserve"> 2020</w:t>
      </w:r>
      <w:proofErr w:type="gramEnd"/>
      <w:r w:rsidRPr="00915A3E">
        <w:t xml:space="preserve">, </w:t>
      </w:r>
      <w:proofErr w:type="spellStart"/>
      <w:r w:rsidRPr="00915A3E">
        <w:t>doi</w:t>
      </w:r>
      <w:proofErr w:type="spellEnd"/>
      <w:r w:rsidRPr="00915A3E">
        <w:t>: 10.1128/aac.00825-20.</w:t>
      </w:r>
    </w:p>
    <w:p w14:paraId="3B5FE408" w14:textId="7DDD927D" w:rsidR="00343B94" w:rsidRPr="00915A3E" w:rsidRDefault="00343B94" w:rsidP="00915A3E">
      <w:pPr>
        <w:pStyle w:val="MDPI71References"/>
      </w:pPr>
      <w:r w:rsidRPr="00915A3E">
        <w:t>O. A. Chaves</w:t>
      </w:r>
      <w:r w:rsidRPr="00915A3E">
        <w:rPr>
          <w:i/>
        </w:rPr>
        <w:t xml:space="preserve"> et al.</w:t>
      </w:r>
      <w:r w:rsidRPr="00915A3E">
        <w:t xml:space="preserve">, "Atazanavir Is a Competitive Inhibitor of SARS-CoV-2 M(pro), Impairing Variants Replication In Vitro and In Vivo," (in </w:t>
      </w:r>
      <w:proofErr w:type="spellStart"/>
      <w:r w:rsidRPr="00915A3E">
        <w:t>eng</w:t>
      </w:r>
      <w:proofErr w:type="spellEnd"/>
      <w:r w:rsidRPr="00915A3E">
        <w:t xml:space="preserve">), </w:t>
      </w:r>
      <w:r w:rsidRPr="00915A3E">
        <w:rPr>
          <w:i/>
        </w:rPr>
        <w:t xml:space="preserve">Pharmaceuticals (Basel), </w:t>
      </w:r>
      <w:r w:rsidRPr="00915A3E">
        <w:t>vol. 15, no. 1, Dec 24</w:t>
      </w:r>
      <w:proofErr w:type="gramStart"/>
      <w:r w:rsidRPr="00915A3E">
        <w:t xml:space="preserve"> 2021</w:t>
      </w:r>
      <w:proofErr w:type="gramEnd"/>
      <w:r w:rsidRPr="00915A3E">
        <w:t xml:space="preserve">, </w:t>
      </w:r>
      <w:proofErr w:type="spellStart"/>
      <w:r w:rsidRPr="00915A3E">
        <w:t>doi</w:t>
      </w:r>
      <w:proofErr w:type="spellEnd"/>
      <w:r w:rsidRPr="00915A3E">
        <w:t>: 10.3390/ph15010021.</w:t>
      </w:r>
    </w:p>
    <w:p w14:paraId="68BBE3AA" w14:textId="3849C850" w:rsidR="00343B94" w:rsidRPr="00915A3E" w:rsidRDefault="00343B94" w:rsidP="00915A3E">
      <w:pPr>
        <w:pStyle w:val="MDPI71References"/>
      </w:pPr>
      <w:r w:rsidRPr="00915A3E">
        <w:t xml:space="preserve">W. H. Organization, "Guidance on regulations for the transport of infectious substances 2013-2014: applicable as from 1 January 2013," World Health Organization, 2012. </w:t>
      </w:r>
    </w:p>
    <w:p w14:paraId="0B19EC05" w14:textId="01966521" w:rsidR="00343B94" w:rsidRPr="00915A3E" w:rsidRDefault="00343B94" w:rsidP="00915A3E">
      <w:pPr>
        <w:pStyle w:val="MDPI71References"/>
      </w:pPr>
      <w:r w:rsidRPr="00915A3E">
        <w:t>A. Olagunju</w:t>
      </w:r>
      <w:r w:rsidRPr="00915A3E">
        <w:rPr>
          <w:i/>
        </w:rPr>
        <w:t xml:space="preserve"> et al.</w:t>
      </w:r>
      <w:r w:rsidRPr="00915A3E">
        <w:t xml:space="preserve">, "Validation and clinical application of a method to quantify nevirapine in dried blood spots and dried breast-milk spots," (in </w:t>
      </w:r>
      <w:proofErr w:type="spellStart"/>
      <w:r w:rsidRPr="00915A3E">
        <w:t>eng</w:t>
      </w:r>
      <w:proofErr w:type="spellEnd"/>
      <w:r w:rsidRPr="00915A3E">
        <w:t xml:space="preserve">), </w:t>
      </w:r>
      <w:r w:rsidRPr="00915A3E">
        <w:rPr>
          <w:i/>
        </w:rPr>
        <w:t xml:space="preserve">J </w:t>
      </w:r>
      <w:proofErr w:type="spellStart"/>
      <w:r w:rsidRPr="00915A3E">
        <w:rPr>
          <w:i/>
        </w:rPr>
        <w:t>Antimicrob</w:t>
      </w:r>
      <w:proofErr w:type="spellEnd"/>
      <w:r w:rsidRPr="00915A3E">
        <w:rPr>
          <w:i/>
        </w:rPr>
        <w:t xml:space="preserve"> </w:t>
      </w:r>
      <w:proofErr w:type="spellStart"/>
      <w:r w:rsidRPr="00915A3E">
        <w:rPr>
          <w:i/>
        </w:rPr>
        <w:t>Chemother</w:t>
      </w:r>
      <w:proofErr w:type="spellEnd"/>
      <w:r w:rsidRPr="00915A3E">
        <w:rPr>
          <w:i/>
        </w:rPr>
        <w:t xml:space="preserve">, </w:t>
      </w:r>
      <w:r w:rsidRPr="00915A3E">
        <w:t xml:space="preserve">vol. 70, no. 10, pp. 2816-22, Oct 2015, </w:t>
      </w:r>
      <w:proofErr w:type="spellStart"/>
      <w:r w:rsidRPr="00915A3E">
        <w:t>doi</w:t>
      </w:r>
      <w:proofErr w:type="spellEnd"/>
      <w:r w:rsidRPr="00915A3E">
        <w:t>: 10.1093/</w:t>
      </w:r>
      <w:proofErr w:type="spellStart"/>
      <w:r w:rsidRPr="00915A3E">
        <w:t>jac</w:t>
      </w:r>
      <w:proofErr w:type="spellEnd"/>
      <w:r w:rsidRPr="00915A3E">
        <w:t>/dkv174.</w:t>
      </w:r>
    </w:p>
    <w:p w14:paraId="7C802792" w14:textId="01B26215" w:rsidR="00343B94" w:rsidRPr="00915A3E" w:rsidRDefault="00343B94" w:rsidP="00915A3E">
      <w:pPr>
        <w:pStyle w:val="MDPI71References"/>
      </w:pPr>
      <w:r w:rsidRPr="00915A3E">
        <w:t xml:space="preserve">A. </w:t>
      </w:r>
      <w:proofErr w:type="spellStart"/>
      <w:r w:rsidRPr="00915A3E">
        <w:t>Akinloye</w:t>
      </w:r>
      <w:proofErr w:type="spellEnd"/>
      <w:r w:rsidRPr="00915A3E">
        <w:t xml:space="preserve">, O. </w:t>
      </w:r>
      <w:proofErr w:type="spellStart"/>
      <w:r w:rsidRPr="00915A3E">
        <w:t>Eniayewu</w:t>
      </w:r>
      <w:proofErr w:type="spellEnd"/>
      <w:r w:rsidRPr="00915A3E">
        <w:t xml:space="preserve">, B. Adeagbo, O. Bolaji, and A. Olagunju, "Validation and Clinical Application of a Liquid Chromatography-Ultraviolet Detection Method to Quantify Dolutegravir in Dried Blood Spots," (in </w:t>
      </w:r>
      <w:proofErr w:type="spellStart"/>
      <w:r w:rsidRPr="00915A3E">
        <w:t>eng</w:t>
      </w:r>
      <w:proofErr w:type="spellEnd"/>
      <w:r w:rsidRPr="00915A3E">
        <w:t xml:space="preserve">), </w:t>
      </w:r>
      <w:r w:rsidRPr="00915A3E">
        <w:rPr>
          <w:i/>
        </w:rPr>
        <w:t xml:space="preserve">Ther Drug Monit, </w:t>
      </w:r>
      <w:r w:rsidRPr="00915A3E">
        <w:t>vol. 44, no. 3, pp. 430-437, Jun 1</w:t>
      </w:r>
      <w:proofErr w:type="gramStart"/>
      <w:r w:rsidRPr="00915A3E">
        <w:t xml:space="preserve"> 2022</w:t>
      </w:r>
      <w:proofErr w:type="gramEnd"/>
      <w:r w:rsidRPr="00915A3E">
        <w:t xml:space="preserve">, </w:t>
      </w:r>
      <w:proofErr w:type="spellStart"/>
      <w:r w:rsidRPr="00915A3E">
        <w:t>doi</w:t>
      </w:r>
      <w:proofErr w:type="spellEnd"/>
      <w:r w:rsidRPr="00915A3E">
        <w:t>: 10.1097/ftd.0000000000000929.</w:t>
      </w:r>
      <w:bookmarkEnd w:id="4"/>
      <w:bookmarkEnd w:id="5"/>
    </w:p>
    <w:sectPr w:rsidR="00343B94" w:rsidRPr="00915A3E" w:rsidSect="00F17B51">
      <w:headerReference w:type="even" r:id="rId12"/>
      <w:headerReference w:type="default" r:id="rId13"/>
      <w:footerReference w:type="default" r:id="rId14"/>
      <w:headerReference w:type="first" r:id="rId15"/>
      <w:footerReference w:type="first" r:id="rId16"/>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7BA7F" w14:textId="77777777" w:rsidR="009D0D3E" w:rsidRDefault="009D0D3E">
      <w:pPr>
        <w:spacing w:line="240" w:lineRule="auto"/>
      </w:pPr>
      <w:r>
        <w:separator/>
      </w:r>
    </w:p>
  </w:endnote>
  <w:endnote w:type="continuationSeparator" w:id="0">
    <w:p w14:paraId="1BD0B14F" w14:textId="77777777" w:rsidR="009D0D3E" w:rsidRDefault="009D0D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46EA8" w14:textId="77777777" w:rsidR="00FA6861" w:rsidRPr="00591A13" w:rsidRDefault="00FA6861" w:rsidP="00FA6861">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55412" w14:textId="77777777" w:rsidR="00C25374"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54770570" w14:textId="77777777" w:rsidR="00FA6861" w:rsidRPr="002905B3" w:rsidRDefault="00BA6E0F" w:rsidP="000F3770">
    <w:pPr>
      <w:tabs>
        <w:tab w:val="right" w:pos="10466"/>
      </w:tabs>
      <w:adjustRightInd w:val="0"/>
      <w:snapToGrid w:val="0"/>
      <w:spacing w:line="240" w:lineRule="auto"/>
      <w:rPr>
        <w:iCs/>
        <w:sz w:val="16"/>
        <w:szCs w:val="16"/>
        <w:lang w:val="fr-CH"/>
      </w:rPr>
    </w:pPr>
    <w:r w:rsidRPr="00BA6E0F">
      <w:rPr>
        <w:i/>
        <w:iCs/>
        <w:sz w:val="16"/>
        <w:szCs w:val="16"/>
      </w:rPr>
      <w:t xml:space="preserve">Future </w:t>
    </w:r>
    <w:r w:rsidR="00022814" w:rsidRPr="00022814">
      <w:rPr>
        <w:i/>
        <w:iCs/>
        <w:sz w:val="16"/>
        <w:szCs w:val="16"/>
      </w:rPr>
      <w:t>Pharmacol</w:t>
    </w:r>
    <w:r w:rsidRPr="00BA6E0F">
      <w:rPr>
        <w:i/>
        <w:iCs/>
        <w:sz w:val="16"/>
        <w:szCs w:val="16"/>
      </w:rPr>
      <w:t>.</w:t>
    </w:r>
    <w:r w:rsidR="007758CD">
      <w:rPr>
        <w:i/>
        <w:iCs/>
        <w:sz w:val="16"/>
        <w:szCs w:val="16"/>
      </w:rPr>
      <w:t xml:space="preserve"> </w:t>
    </w:r>
    <w:r w:rsidR="00977D0F">
      <w:rPr>
        <w:b/>
        <w:bCs/>
        <w:iCs/>
        <w:sz w:val="16"/>
        <w:szCs w:val="16"/>
        <w:lang w:val="it-IT"/>
      </w:rPr>
      <w:t>2023</w:t>
    </w:r>
    <w:r w:rsidR="00812671" w:rsidRPr="00812671">
      <w:rPr>
        <w:bCs/>
        <w:iCs/>
        <w:sz w:val="16"/>
        <w:szCs w:val="16"/>
        <w:lang w:val="it-IT"/>
      </w:rPr>
      <w:t>,</w:t>
    </w:r>
    <w:r w:rsidR="00977D0F">
      <w:rPr>
        <w:bCs/>
        <w:i/>
        <w:iCs/>
        <w:sz w:val="16"/>
        <w:szCs w:val="16"/>
        <w:lang w:val="it-IT"/>
      </w:rPr>
      <w:t xml:space="preserve"> 3</w:t>
    </w:r>
    <w:r w:rsidR="00812671" w:rsidRPr="00812671">
      <w:rPr>
        <w:bCs/>
        <w:iCs/>
        <w:sz w:val="16"/>
        <w:szCs w:val="16"/>
        <w:lang w:val="it-IT"/>
      </w:rPr>
      <w:t xml:space="preserve">, </w:t>
    </w:r>
    <w:r w:rsidR="0027522A">
      <w:rPr>
        <w:bCs/>
        <w:iCs/>
        <w:sz w:val="16"/>
        <w:szCs w:val="16"/>
      </w:rPr>
      <w:t>Firstpage–Lastpage</w:t>
    </w:r>
    <w:r w:rsidR="00C25374">
      <w:rPr>
        <w:bCs/>
        <w:iCs/>
        <w:sz w:val="16"/>
        <w:szCs w:val="16"/>
      </w:rPr>
      <w:t>. https://doi.org/10.3390/xxxxx</w:t>
    </w:r>
    <w:bookmarkStart w:id="6" w:name="OLE_LINK3"/>
    <w:bookmarkStart w:id="7" w:name="OLE_LINK4"/>
    <w:r w:rsidR="000F3770" w:rsidRPr="00372FCD">
      <w:rPr>
        <w:sz w:val="16"/>
        <w:szCs w:val="16"/>
        <w:lang w:val="fr-CH"/>
      </w:rPr>
      <w:tab/>
    </w:r>
    <w:r w:rsidR="00FA6861" w:rsidRPr="00372FCD">
      <w:rPr>
        <w:sz w:val="16"/>
        <w:szCs w:val="16"/>
        <w:lang w:val="fr-CH"/>
      </w:rPr>
      <w:t>www.mdpi.com/</w:t>
    </w:r>
    <w:r w:rsidR="00FA6861" w:rsidRPr="00D236DF">
      <w:rPr>
        <w:sz w:val="16"/>
        <w:szCs w:val="16"/>
        <w:lang w:val="fr-CH"/>
      </w:rPr>
      <w:t>journal/</w:t>
    </w:r>
    <w:bookmarkEnd w:id="6"/>
    <w:bookmarkEnd w:id="7"/>
    <w:r w:rsidRPr="00BA6E0F">
      <w:rPr>
        <w:sz w:val="16"/>
        <w:szCs w:val="16"/>
        <w:lang w:val="fr-CH"/>
      </w:rPr>
      <w:t>futurepharmacol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7D787" w14:textId="77777777" w:rsidR="009D0D3E" w:rsidRDefault="009D0D3E">
      <w:pPr>
        <w:spacing w:line="240" w:lineRule="auto"/>
      </w:pPr>
      <w:r>
        <w:separator/>
      </w:r>
    </w:p>
  </w:footnote>
  <w:footnote w:type="continuationSeparator" w:id="0">
    <w:p w14:paraId="604B18D0" w14:textId="77777777" w:rsidR="009D0D3E" w:rsidRDefault="009D0D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E549" w14:textId="77777777" w:rsidR="00FA6861" w:rsidRDefault="00FA6861" w:rsidP="00FA6861">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7A4AE" w14:textId="77777777" w:rsidR="00C25374" w:rsidRDefault="00BA6E0F" w:rsidP="000F3770">
    <w:pPr>
      <w:tabs>
        <w:tab w:val="right" w:pos="10466"/>
      </w:tabs>
      <w:adjustRightInd w:val="0"/>
      <w:snapToGrid w:val="0"/>
      <w:spacing w:line="240" w:lineRule="auto"/>
      <w:rPr>
        <w:sz w:val="16"/>
      </w:rPr>
    </w:pPr>
    <w:r w:rsidRPr="00BA6E0F">
      <w:rPr>
        <w:i/>
        <w:iCs/>
        <w:sz w:val="16"/>
        <w:szCs w:val="16"/>
      </w:rPr>
      <w:t xml:space="preserve">Future </w:t>
    </w:r>
    <w:r w:rsidR="00022814" w:rsidRPr="00022814">
      <w:rPr>
        <w:i/>
        <w:iCs/>
        <w:sz w:val="16"/>
        <w:szCs w:val="16"/>
      </w:rPr>
      <w:t>Pharmacol</w:t>
    </w:r>
    <w:r w:rsidRPr="00BA6E0F">
      <w:rPr>
        <w:i/>
        <w:iCs/>
        <w:sz w:val="16"/>
        <w:szCs w:val="16"/>
      </w:rPr>
      <w:t>.</w:t>
    </w:r>
    <w:r w:rsidR="007758CD">
      <w:rPr>
        <w:i/>
        <w:iCs/>
        <w:sz w:val="16"/>
        <w:szCs w:val="16"/>
      </w:rPr>
      <w:t xml:space="preserve"> </w:t>
    </w:r>
    <w:r w:rsidR="00977D0F">
      <w:rPr>
        <w:b/>
        <w:sz w:val="16"/>
      </w:rPr>
      <w:t>2023</w:t>
    </w:r>
    <w:r w:rsidR="00812671" w:rsidRPr="00812671">
      <w:rPr>
        <w:sz w:val="16"/>
      </w:rPr>
      <w:t>,</w:t>
    </w:r>
    <w:r w:rsidR="00977D0F">
      <w:rPr>
        <w:i/>
        <w:sz w:val="16"/>
      </w:rPr>
      <w:t xml:space="preserve"> 3</w:t>
    </w:r>
    <w:r w:rsidR="00D236DF">
      <w:rPr>
        <w:sz w:val="16"/>
      </w:rPr>
      <w:t>, FOR PEER REVIEW</w:t>
    </w:r>
    <w:r w:rsidR="000F3770">
      <w:rPr>
        <w:sz w:val="16"/>
      </w:rPr>
      <w:tab/>
    </w:r>
    <w:r w:rsidR="00F7266F">
      <w:rPr>
        <w:sz w:val="16"/>
      </w:rPr>
      <w:fldChar w:fldCharType="begin"/>
    </w:r>
    <w:r w:rsidR="00F7266F">
      <w:rPr>
        <w:sz w:val="16"/>
      </w:rPr>
      <w:instrText xml:space="preserve"> PAGE   \* MERGEFORMAT </w:instrText>
    </w:r>
    <w:r w:rsidR="00F7266F">
      <w:rPr>
        <w:sz w:val="16"/>
      </w:rPr>
      <w:fldChar w:fldCharType="separate"/>
    </w:r>
    <w:r w:rsidR="00CB5B85">
      <w:rPr>
        <w:sz w:val="16"/>
      </w:rPr>
      <w:t>4</w:t>
    </w:r>
    <w:r w:rsidR="00F7266F">
      <w:rPr>
        <w:sz w:val="16"/>
      </w:rPr>
      <w:fldChar w:fldCharType="end"/>
    </w:r>
  </w:p>
  <w:p w14:paraId="365573A4" w14:textId="77777777" w:rsidR="00FA6861" w:rsidRPr="00E74B43"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C25374" w:rsidRPr="000F3770" w14:paraId="5150DD3C" w14:textId="77777777" w:rsidTr="001833DB">
      <w:trPr>
        <w:trHeight w:val="686"/>
      </w:trPr>
      <w:tc>
        <w:tcPr>
          <w:tcW w:w="3679" w:type="dxa"/>
          <w:shd w:val="clear" w:color="auto" w:fill="auto"/>
          <w:vAlign w:val="center"/>
        </w:tcPr>
        <w:p w14:paraId="20B84E43" w14:textId="77777777" w:rsidR="00C25374" w:rsidRPr="00DC06CB" w:rsidRDefault="00BA6E0F" w:rsidP="000F3770">
          <w:pPr>
            <w:pStyle w:val="Header"/>
            <w:pBdr>
              <w:bottom w:val="none" w:sz="0" w:space="0" w:color="auto"/>
            </w:pBdr>
            <w:jc w:val="left"/>
            <w:rPr>
              <w:rFonts w:eastAsia="DengXian"/>
              <w:b/>
              <w:bCs/>
            </w:rPr>
          </w:pPr>
          <w:r>
            <w:drawing>
              <wp:inline distT="0" distB="0" distL="0" distR="0" wp14:anchorId="32645144" wp14:editId="4D8E6D34">
                <wp:extent cx="1601323" cy="432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323" cy="432000"/>
                        </a:xfrm>
                        <a:prstGeom prst="rect">
                          <a:avLst/>
                        </a:prstGeom>
                        <a:noFill/>
                        <a:ln>
                          <a:noFill/>
                        </a:ln>
                      </pic:spPr>
                    </pic:pic>
                  </a:graphicData>
                </a:graphic>
              </wp:inline>
            </w:drawing>
          </w:r>
        </w:p>
      </w:tc>
      <w:tc>
        <w:tcPr>
          <w:tcW w:w="4535" w:type="dxa"/>
          <w:shd w:val="clear" w:color="auto" w:fill="auto"/>
          <w:vAlign w:val="center"/>
        </w:tcPr>
        <w:p w14:paraId="599F31C9" w14:textId="77777777" w:rsidR="00C25374" w:rsidRPr="00DC06CB" w:rsidRDefault="00C25374" w:rsidP="000F3770">
          <w:pPr>
            <w:pStyle w:val="Header"/>
            <w:pBdr>
              <w:bottom w:val="none" w:sz="0" w:space="0" w:color="auto"/>
            </w:pBdr>
            <w:rPr>
              <w:rFonts w:eastAsia="DengXian"/>
              <w:b/>
              <w:bCs/>
            </w:rPr>
          </w:pPr>
        </w:p>
      </w:tc>
      <w:tc>
        <w:tcPr>
          <w:tcW w:w="2273" w:type="dxa"/>
          <w:shd w:val="clear" w:color="auto" w:fill="auto"/>
          <w:vAlign w:val="center"/>
        </w:tcPr>
        <w:p w14:paraId="4B45D6DE" w14:textId="77777777" w:rsidR="00C25374" w:rsidRPr="00DC06CB" w:rsidRDefault="001833DB" w:rsidP="001833DB">
          <w:pPr>
            <w:pStyle w:val="Header"/>
            <w:pBdr>
              <w:bottom w:val="none" w:sz="0" w:space="0" w:color="auto"/>
            </w:pBdr>
            <w:jc w:val="right"/>
            <w:rPr>
              <w:rFonts w:eastAsia="DengXian"/>
              <w:b/>
              <w:bCs/>
            </w:rPr>
          </w:pPr>
          <w:r>
            <w:rPr>
              <w:rFonts w:eastAsia="DengXian"/>
              <w:b/>
              <w:bCs/>
            </w:rPr>
            <w:drawing>
              <wp:inline distT="0" distB="0" distL="0" distR="0" wp14:anchorId="6C003303" wp14:editId="5EB1F319">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264437CA" w14:textId="77777777" w:rsidR="00FA6861" w:rsidRPr="00C25374" w:rsidRDefault="00FA6861" w:rsidP="00A07D45">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105"/>
    <w:multiLevelType w:val="hybridMultilevel"/>
    <w:tmpl w:val="7A56A1CC"/>
    <w:lvl w:ilvl="0" w:tplc="7736F520">
      <w:start w:val="1"/>
      <w:numFmt w:val="decimal"/>
      <w:lvlRestart w:val="0"/>
      <w:pStyle w:val="MDPI71FootNotes"/>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F502D3FA"/>
    <w:lvl w:ilvl="0" w:tplc="FAE6D6A0">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167E3EC4"/>
    <w:lvl w:ilvl="0" w:tplc="0CC41B8E">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47529D"/>
    <w:multiLevelType w:val="hybridMultilevel"/>
    <w:tmpl w:val="309A0A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E0EC50B2"/>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6E8C3821"/>
    <w:multiLevelType w:val="hybridMultilevel"/>
    <w:tmpl w:val="D5303492"/>
    <w:lvl w:ilvl="0" w:tplc="9644459C">
      <w:start w:val="1"/>
      <w:numFmt w:val="decimal"/>
      <w:lvlRestart w:val="0"/>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5147DD"/>
    <w:multiLevelType w:val="hybridMultilevel"/>
    <w:tmpl w:val="121E5380"/>
    <w:lvl w:ilvl="0" w:tplc="CD3400D4">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3D7630"/>
    <w:multiLevelType w:val="hybridMultilevel"/>
    <w:tmpl w:val="408EF0A0"/>
    <w:lvl w:ilvl="0" w:tplc="248C973C">
      <w:start w:val="1"/>
      <w:numFmt w:val="decimal"/>
      <w:lvlRestart w:val="0"/>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16cid:durableId="1582719378">
    <w:abstractNumId w:val="5"/>
  </w:num>
  <w:num w:numId="2" w16cid:durableId="1721437288">
    <w:abstractNumId w:val="7"/>
  </w:num>
  <w:num w:numId="3" w16cid:durableId="838888883">
    <w:abstractNumId w:val="3"/>
  </w:num>
  <w:num w:numId="4" w16cid:durableId="5340743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44446465">
    <w:abstractNumId w:val="6"/>
  </w:num>
  <w:num w:numId="6" w16cid:durableId="1727332536">
    <w:abstractNumId w:val="9"/>
  </w:num>
  <w:num w:numId="7" w16cid:durableId="1690791295">
    <w:abstractNumId w:val="2"/>
  </w:num>
  <w:num w:numId="8" w16cid:durableId="162400594">
    <w:abstractNumId w:val="9"/>
  </w:num>
  <w:num w:numId="9" w16cid:durableId="348141983">
    <w:abstractNumId w:val="2"/>
  </w:num>
  <w:num w:numId="10" w16cid:durableId="1817186201">
    <w:abstractNumId w:val="9"/>
  </w:num>
  <w:num w:numId="11" w16cid:durableId="1131904736">
    <w:abstractNumId w:val="2"/>
  </w:num>
  <w:num w:numId="12" w16cid:durableId="1050035559">
    <w:abstractNumId w:val="12"/>
  </w:num>
  <w:num w:numId="13" w16cid:durableId="1989018210">
    <w:abstractNumId w:val="9"/>
  </w:num>
  <w:num w:numId="14" w16cid:durableId="379286458">
    <w:abstractNumId w:val="2"/>
  </w:num>
  <w:num w:numId="15" w16cid:durableId="1438401174">
    <w:abstractNumId w:val="1"/>
  </w:num>
  <w:num w:numId="16" w16cid:durableId="924386595">
    <w:abstractNumId w:val="8"/>
  </w:num>
  <w:num w:numId="17" w16cid:durableId="558902227">
    <w:abstractNumId w:val="1"/>
  </w:num>
  <w:num w:numId="18" w16cid:durableId="587234030">
    <w:abstractNumId w:val="9"/>
  </w:num>
  <w:num w:numId="19" w16cid:durableId="45103457">
    <w:abstractNumId w:val="2"/>
  </w:num>
  <w:num w:numId="20" w16cid:durableId="1392967791">
    <w:abstractNumId w:val="1"/>
  </w:num>
  <w:num w:numId="21" w16cid:durableId="1369724905">
    <w:abstractNumId w:val="10"/>
  </w:num>
  <w:num w:numId="22" w16cid:durableId="955595811">
    <w:abstractNumId w:val="13"/>
  </w:num>
  <w:num w:numId="23" w16cid:durableId="838927182">
    <w:abstractNumId w:val="11"/>
  </w:num>
  <w:num w:numId="24" w16cid:durableId="638924256">
    <w:abstractNumId w:val="4"/>
  </w:num>
  <w:num w:numId="25" w16cid:durableId="1157115094">
    <w:abstractNumId w:val="9"/>
  </w:num>
  <w:num w:numId="26" w16cid:durableId="1163593714">
    <w:abstractNumId w:val="2"/>
  </w:num>
  <w:num w:numId="27" w16cid:durableId="2069260964">
    <w:abstractNumId w:val="0"/>
  </w:num>
  <w:num w:numId="28" w16cid:durableId="1444300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B94"/>
    <w:rsid w:val="00000F40"/>
    <w:rsid w:val="000075B7"/>
    <w:rsid w:val="00012978"/>
    <w:rsid w:val="00022814"/>
    <w:rsid w:val="00030A56"/>
    <w:rsid w:val="00036655"/>
    <w:rsid w:val="000407F1"/>
    <w:rsid w:val="00052EE7"/>
    <w:rsid w:val="00056D71"/>
    <w:rsid w:val="00061C1C"/>
    <w:rsid w:val="00063A94"/>
    <w:rsid w:val="000779E3"/>
    <w:rsid w:val="00077A23"/>
    <w:rsid w:val="000B63BA"/>
    <w:rsid w:val="000C24A9"/>
    <w:rsid w:val="000C7AB4"/>
    <w:rsid w:val="000E0476"/>
    <w:rsid w:val="000F3770"/>
    <w:rsid w:val="001072A7"/>
    <w:rsid w:val="0010747B"/>
    <w:rsid w:val="00107CEC"/>
    <w:rsid w:val="0011600E"/>
    <w:rsid w:val="001274EA"/>
    <w:rsid w:val="00127920"/>
    <w:rsid w:val="00147BC3"/>
    <w:rsid w:val="00157E7C"/>
    <w:rsid w:val="00172410"/>
    <w:rsid w:val="001833DB"/>
    <w:rsid w:val="001838B0"/>
    <w:rsid w:val="00190D3F"/>
    <w:rsid w:val="00196466"/>
    <w:rsid w:val="001B3594"/>
    <w:rsid w:val="001C53BF"/>
    <w:rsid w:val="001D00F2"/>
    <w:rsid w:val="001D2666"/>
    <w:rsid w:val="001D5666"/>
    <w:rsid w:val="001E2AEB"/>
    <w:rsid w:val="001E3A54"/>
    <w:rsid w:val="001E5BC4"/>
    <w:rsid w:val="002112FC"/>
    <w:rsid w:val="00225DEE"/>
    <w:rsid w:val="00226D97"/>
    <w:rsid w:val="00254C7B"/>
    <w:rsid w:val="0027522A"/>
    <w:rsid w:val="00282A3D"/>
    <w:rsid w:val="00287F77"/>
    <w:rsid w:val="002905B3"/>
    <w:rsid w:val="002A18DC"/>
    <w:rsid w:val="002A38B7"/>
    <w:rsid w:val="002A4156"/>
    <w:rsid w:val="002A5A18"/>
    <w:rsid w:val="002A6AEA"/>
    <w:rsid w:val="002A7E0A"/>
    <w:rsid w:val="002B04D8"/>
    <w:rsid w:val="002B3ED9"/>
    <w:rsid w:val="002C2614"/>
    <w:rsid w:val="002D480C"/>
    <w:rsid w:val="002F1405"/>
    <w:rsid w:val="003024E2"/>
    <w:rsid w:val="00310C53"/>
    <w:rsid w:val="00316E17"/>
    <w:rsid w:val="00326141"/>
    <w:rsid w:val="00335390"/>
    <w:rsid w:val="00343B94"/>
    <w:rsid w:val="00347F07"/>
    <w:rsid w:val="003677F2"/>
    <w:rsid w:val="003A1784"/>
    <w:rsid w:val="003B1A90"/>
    <w:rsid w:val="003C2487"/>
    <w:rsid w:val="003D65A2"/>
    <w:rsid w:val="003F4DA0"/>
    <w:rsid w:val="00401D30"/>
    <w:rsid w:val="0044559C"/>
    <w:rsid w:val="0048153C"/>
    <w:rsid w:val="004E4638"/>
    <w:rsid w:val="005067EE"/>
    <w:rsid w:val="00530D54"/>
    <w:rsid w:val="005313B2"/>
    <w:rsid w:val="00534E89"/>
    <w:rsid w:val="00535B2C"/>
    <w:rsid w:val="005559FE"/>
    <w:rsid w:val="00576FD6"/>
    <w:rsid w:val="005A5966"/>
    <w:rsid w:val="005A5FAD"/>
    <w:rsid w:val="005B25F4"/>
    <w:rsid w:val="005C284F"/>
    <w:rsid w:val="005E1449"/>
    <w:rsid w:val="005F19C4"/>
    <w:rsid w:val="005F2787"/>
    <w:rsid w:val="00601070"/>
    <w:rsid w:val="006449F0"/>
    <w:rsid w:val="00647BC3"/>
    <w:rsid w:val="00656DF4"/>
    <w:rsid w:val="006702E5"/>
    <w:rsid w:val="00676CF2"/>
    <w:rsid w:val="00692393"/>
    <w:rsid w:val="006A57A4"/>
    <w:rsid w:val="006A6CEC"/>
    <w:rsid w:val="006B4609"/>
    <w:rsid w:val="006B5D37"/>
    <w:rsid w:val="006E46C8"/>
    <w:rsid w:val="0070389B"/>
    <w:rsid w:val="00713BA8"/>
    <w:rsid w:val="00715ADB"/>
    <w:rsid w:val="00716977"/>
    <w:rsid w:val="00717805"/>
    <w:rsid w:val="00721A8A"/>
    <w:rsid w:val="00726EB1"/>
    <w:rsid w:val="00727027"/>
    <w:rsid w:val="007278EE"/>
    <w:rsid w:val="007375A0"/>
    <w:rsid w:val="00744DDF"/>
    <w:rsid w:val="00754B41"/>
    <w:rsid w:val="00773E68"/>
    <w:rsid w:val="007758CD"/>
    <w:rsid w:val="007824CC"/>
    <w:rsid w:val="007907E9"/>
    <w:rsid w:val="007B1591"/>
    <w:rsid w:val="007B6A78"/>
    <w:rsid w:val="007C45B7"/>
    <w:rsid w:val="007C600C"/>
    <w:rsid w:val="007C60BB"/>
    <w:rsid w:val="007E0233"/>
    <w:rsid w:val="007E2F61"/>
    <w:rsid w:val="007E46E6"/>
    <w:rsid w:val="00812671"/>
    <w:rsid w:val="00815517"/>
    <w:rsid w:val="008170D8"/>
    <w:rsid w:val="00820751"/>
    <w:rsid w:val="00837C51"/>
    <w:rsid w:val="00850FF0"/>
    <w:rsid w:val="00881DB5"/>
    <w:rsid w:val="00894302"/>
    <w:rsid w:val="008965CE"/>
    <w:rsid w:val="008A29A2"/>
    <w:rsid w:val="008B6FEA"/>
    <w:rsid w:val="008C7E82"/>
    <w:rsid w:val="008D2869"/>
    <w:rsid w:val="008D732F"/>
    <w:rsid w:val="008E4521"/>
    <w:rsid w:val="008E7D71"/>
    <w:rsid w:val="00904381"/>
    <w:rsid w:val="00907A22"/>
    <w:rsid w:val="00915A3E"/>
    <w:rsid w:val="00926CDC"/>
    <w:rsid w:val="009349DC"/>
    <w:rsid w:val="00934A24"/>
    <w:rsid w:val="00937EA2"/>
    <w:rsid w:val="00962632"/>
    <w:rsid w:val="00977D0F"/>
    <w:rsid w:val="00982766"/>
    <w:rsid w:val="009909C7"/>
    <w:rsid w:val="00994DF9"/>
    <w:rsid w:val="009A23B2"/>
    <w:rsid w:val="009B75D5"/>
    <w:rsid w:val="009C32DF"/>
    <w:rsid w:val="009D0D3E"/>
    <w:rsid w:val="009D3ACF"/>
    <w:rsid w:val="009F70E6"/>
    <w:rsid w:val="00A07D45"/>
    <w:rsid w:val="00A14BE0"/>
    <w:rsid w:val="00A17F6A"/>
    <w:rsid w:val="00A3480C"/>
    <w:rsid w:val="00A402F1"/>
    <w:rsid w:val="00A4179B"/>
    <w:rsid w:val="00A4284E"/>
    <w:rsid w:val="00A5120B"/>
    <w:rsid w:val="00A813A3"/>
    <w:rsid w:val="00A9758F"/>
    <w:rsid w:val="00AC4E63"/>
    <w:rsid w:val="00AC595D"/>
    <w:rsid w:val="00AE72BC"/>
    <w:rsid w:val="00B119BE"/>
    <w:rsid w:val="00B23DF9"/>
    <w:rsid w:val="00B71204"/>
    <w:rsid w:val="00B97E6A"/>
    <w:rsid w:val="00BA09E3"/>
    <w:rsid w:val="00BA6E0F"/>
    <w:rsid w:val="00BD65C8"/>
    <w:rsid w:val="00C02EDC"/>
    <w:rsid w:val="00C04D0D"/>
    <w:rsid w:val="00C16344"/>
    <w:rsid w:val="00C25374"/>
    <w:rsid w:val="00C27A85"/>
    <w:rsid w:val="00C4009A"/>
    <w:rsid w:val="00C41AF0"/>
    <w:rsid w:val="00C7545E"/>
    <w:rsid w:val="00C91BBE"/>
    <w:rsid w:val="00CB5B85"/>
    <w:rsid w:val="00CC4294"/>
    <w:rsid w:val="00CC7616"/>
    <w:rsid w:val="00CD2B43"/>
    <w:rsid w:val="00CD5EBE"/>
    <w:rsid w:val="00CF3E5E"/>
    <w:rsid w:val="00CF5DAD"/>
    <w:rsid w:val="00D011A4"/>
    <w:rsid w:val="00D02DDD"/>
    <w:rsid w:val="00D154A3"/>
    <w:rsid w:val="00D17BC0"/>
    <w:rsid w:val="00D236DF"/>
    <w:rsid w:val="00D24B8B"/>
    <w:rsid w:val="00D32494"/>
    <w:rsid w:val="00D33501"/>
    <w:rsid w:val="00D42882"/>
    <w:rsid w:val="00D54B28"/>
    <w:rsid w:val="00D65C05"/>
    <w:rsid w:val="00D77B5F"/>
    <w:rsid w:val="00D870BC"/>
    <w:rsid w:val="00D90E42"/>
    <w:rsid w:val="00D94791"/>
    <w:rsid w:val="00DA3B2A"/>
    <w:rsid w:val="00DA4B33"/>
    <w:rsid w:val="00DC0333"/>
    <w:rsid w:val="00DC06CB"/>
    <w:rsid w:val="00DD14D1"/>
    <w:rsid w:val="00DE076D"/>
    <w:rsid w:val="00DE10D6"/>
    <w:rsid w:val="00DE1187"/>
    <w:rsid w:val="00DE2D43"/>
    <w:rsid w:val="00DE3654"/>
    <w:rsid w:val="00DF4762"/>
    <w:rsid w:val="00DF75E1"/>
    <w:rsid w:val="00E06C86"/>
    <w:rsid w:val="00E07D1C"/>
    <w:rsid w:val="00E1770A"/>
    <w:rsid w:val="00E468FC"/>
    <w:rsid w:val="00E91DB4"/>
    <w:rsid w:val="00EB11F8"/>
    <w:rsid w:val="00EC1E80"/>
    <w:rsid w:val="00EC36E6"/>
    <w:rsid w:val="00ED3685"/>
    <w:rsid w:val="00ED580C"/>
    <w:rsid w:val="00F01E11"/>
    <w:rsid w:val="00F1442F"/>
    <w:rsid w:val="00F15E1D"/>
    <w:rsid w:val="00F17B51"/>
    <w:rsid w:val="00F2618B"/>
    <w:rsid w:val="00F51E7B"/>
    <w:rsid w:val="00F7266F"/>
    <w:rsid w:val="00F75040"/>
    <w:rsid w:val="00F83944"/>
    <w:rsid w:val="00F8445A"/>
    <w:rsid w:val="00F86055"/>
    <w:rsid w:val="00F963E8"/>
    <w:rsid w:val="00F9793E"/>
    <w:rsid w:val="00FA6861"/>
    <w:rsid w:val="00FC7D96"/>
    <w:rsid w:val="00FF138F"/>
    <w:rsid w:val="00FF5C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C7ED68"/>
  <w15:chartTrackingRefBased/>
  <w15:docId w15:val="{C818ED3F-F11F-4952-BE83-94A0846C5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60" w:lineRule="atLeast"/>
      <w:jc w:val="both"/>
    </w:pPr>
    <w:rPr>
      <w:rFonts w:ascii="Palatino Linotype" w:hAnsi="Palatino Linotype"/>
      <w:noProof/>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DE3654"/>
    <w:pPr>
      <w:adjustRightInd w:val="0"/>
      <w:snapToGrid w:val="0"/>
      <w:spacing w:before="240"/>
    </w:pPr>
    <w:rPr>
      <w:rFonts w:ascii="Palatino Linotype" w:eastAsia="Times New Roman" w:hAnsi="Palatino Linotype"/>
      <w:i/>
      <w:snapToGrid w:val="0"/>
      <w:color w:val="000000"/>
      <w:kern w:val="2"/>
      <w:szCs w:val="22"/>
      <w:lang w:eastAsia="de-DE" w:bidi="en-US"/>
      <w14:ligatures w14:val="standardContextual"/>
    </w:rPr>
  </w:style>
  <w:style w:type="paragraph" w:customStyle="1" w:styleId="MDPI12title">
    <w:name w:val="MDPI_1.2_title"/>
    <w:next w:val="Normal"/>
    <w:qFormat/>
    <w:rsid w:val="00DE3654"/>
    <w:pPr>
      <w:adjustRightInd w:val="0"/>
      <w:snapToGrid w:val="0"/>
      <w:spacing w:after="240" w:line="240" w:lineRule="atLeast"/>
    </w:pPr>
    <w:rPr>
      <w:rFonts w:ascii="Palatino Linotype" w:eastAsia="Times New Roman" w:hAnsi="Palatino Linotype"/>
      <w:b/>
      <w:snapToGrid w:val="0"/>
      <w:color w:val="000000"/>
      <w:kern w:val="2"/>
      <w:sz w:val="36"/>
      <w:lang w:eastAsia="de-DE" w:bidi="en-US"/>
      <w14:ligatures w14:val="standardContextual"/>
    </w:rPr>
  </w:style>
  <w:style w:type="paragraph" w:customStyle="1" w:styleId="MDPI13authornames">
    <w:name w:val="MDPI_1.3_authornames"/>
    <w:next w:val="Normal"/>
    <w:qFormat/>
    <w:rsid w:val="00DE3654"/>
    <w:pPr>
      <w:adjustRightInd w:val="0"/>
      <w:snapToGrid w:val="0"/>
      <w:spacing w:after="360" w:line="260" w:lineRule="atLeast"/>
    </w:pPr>
    <w:rPr>
      <w:rFonts w:ascii="Palatino Linotype" w:eastAsia="Times New Roman" w:hAnsi="Palatino Linotype"/>
      <w:b/>
      <w:color w:val="000000"/>
      <w:kern w:val="2"/>
      <w:szCs w:val="22"/>
      <w:lang w:eastAsia="de-DE" w:bidi="en-US"/>
      <w14:ligatures w14:val="standardContextual"/>
    </w:rPr>
  </w:style>
  <w:style w:type="paragraph" w:customStyle="1" w:styleId="MDPI14history">
    <w:name w:val="MDPI_1.4_history"/>
    <w:basedOn w:val="Normal"/>
    <w:next w:val="Normal"/>
    <w:qFormat/>
    <w:rsid w:val="00DE3654"/>
    <w:pPr>
      <w:adjustRightInd w:val="0"/>
      <w:snapToGrid w:val="0"/>
      <w:spacing w:line="240" w:lineRule="atLeast"/>
      <w:ind w:right="113"/>
      <w:jc w:val="left"/>
    </w:pPr>
    <w:rPr>
      <w:rFonts w:eastAsia="Times New Roman"/>
      <w:noProof w:val="0"/>
      <w:kern w:val="2"/>
      <w:sz w:val="14"/>
      <w:lang w:eastAsia="de-DE" w:bidi="en-US"/>
      <w14:ligatures w14:val="standardContextual"/>
    </w:rPr>
  </w:style>
  <w:style w:type="paragraph" w:customStyle="1" w:styleId="MDPI16affiliation">
    <w:name w:val="MDPI_1.6_affiliation"/>
    <w:qFormat/>
    <w:rsid w:val="00DE3654"/>
    <w:pPr>
      <w:adjustRightInd w:val="0"/>
      <w:snapToGrid w:val="0"/>
      <w:spacing w:line="200" w:lineRule="atLeast"/>
      <w:ind w:left="2806" w:hanging="198"/>
    </w:pPr>
    <w:rPr>
      <w:rFonts w:ascii="Palatino Linotype" w:eastAsia="Times New Roman" w:hAnsi="Palatino Linotype"/>
      <w:color w:val="000000"/>
      <w:kern w:val="2"/>
      <w:sz w:val="16"/>
      <w:szCs w:val="18"/>
      <w:lang w:eastAsia="de-DE" w:bidi="en-US"/>
      <w14:ligatures w14:val="standardContextual"/>
    </w:rPr>
  </w:style>
  <w:style w:type="paragraph" w:customStyle="1" w:styleId="MDPI17abstract">
    <w:name w:val="MDPI_1.7_abstract"/>
    <w:next w:val="Normal"/>
    <w:qFormat/>
    <w:rsid w:val="00DE3654"/>
    <w:pPr>
      <w:adjustRightInd w:val="0"/>
      <w:snapToGrid w:val="0"/>
      <w:spacing w:before="240" w:line="260" w:lineRule="atLeast"/>
      <w:ind w:left="2608"/>
      <w:jc w:val="both"/>
    </w:pPr>
    <w:rPr>
      <w:rFonts w:ascii="Palatino Linotype" w:eastAsia="Times New Roman" w:hAnsi="Palatino Linotype"/>
      <w:color w:val="000000"/>
      <w:kern w:val="2"/>
      <w:sz w:val="18"/>
      <w:szCs w:val="22"/>
      <w:lang w:eastAsia="de-DE" w:bidi="en-US"/>
      <w14:ligatures w14:val="standardContextual"/>
    </w:rPr>
  </w:style>
  <w:style w:type="paragraph" w:customStyle="1" w:styleId="MDPI18keywords">
    <w:name w:val="MDPI_1.8_keywords"/>
    <w:next w:val="Normal"/>
    <w:qFormat/>
    <w:rsid w:val="00DE3654"/>
    <w:pPr>
      <w:adjustRightInd w:val="0"/>
      <w:snapToGrid w:val="0"/>
      <w:spacing w:before="240" w:line="260" w:lineRule="atLeast"/>
      <w:ind w:left="2608"/>
      <w:jc w:val="both"/>
    </w:pPr>
    <w:rPr>
      <w:rFonts w:ascii="Palatino Linotype" w:eastAsia="Times New Roman" w:hAnsi="Palatino Linotype"/>
      <w:snapToGrid w:val="0"/>
      <w:color w:val="000000"/>
      <w:kern w:val="2"/>
      <w:sz w:val="18"/>
      <w:szCs w:val="22"/>
      <w:lang w:eastAsia="de-DE" w:bidi="en-US"/>
      <w14:ligatures w14:val="standardContextual"/>
    </w:rPr>
  </w:style>
  <w:style w:type="paragraph" w:customStyle="1" w:styleId="MDPI19line">
    <w:name w:val="MDPI_1.9_line"/>
    <w:qFormat/>
    <w:rsid w:val="00656DF4"/>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kern w:val="2"/>
      <w:szCs w:val="24"/>
      <w:lang w:eastAsia="de-DE" w:bidi="en-US"/>
      <w14:ligatures w14:val="standardContextual"/>
    </w:rPr>
  </w:style>
  <w:style w:type="table" w:customStyle="1" w:styleId="Mdeck5tablebodythreelines">
    <w:name w:val="M_deck_5_table_body_three_lines"/>
    <w:basedOn w:val="Table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937EA2"/>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937EA2"/>
    <w:rPr>
      <w:rFonts w:ascii="Palatino Linotype" w:hAnsi="Palatino Linotype"/>
      <w:noProof/>
      <w:color w:val="000000"/>
      <w:szCs w:val="18"/>
    </w:rPr>
  </w:style>
  <w:style w:type="paragraph" w:styleId="Header">
    <w:name w:val="header"/>
    <w:basedOn w:val="Normal"/>
    <w:link w:val="HeaderCh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937EA2"/>
    <w:rPr>
      <w:rFonts w:ascii="Palatino Linotype" w:hAnsi="Palatino Linotype"/>
      <w:noProof/>
      <w:color w:val="000000"/>
      <w:szCs w:val="18"/>
    </w:rPr>
  </w:style>
  <w:style w:type="paragraph" w:customStyle="1" w:styleId="MDPIheaderjournallogo">
    <w:name w:val="MDPI_header_journal_logo"/>
    <w:qFormat/>
    <w:rsid w:val="00DE3654"/>
    <w:pPr>
      <w:adjustRightInd w:val="0"/>
      <w:snapToGrid w:val="0"/>
      <w:spacing w:line="260" w:lineRule="atLeast"/>
      <w:jc w:val="both"/>
    </w:pPr>
    <w:rPr>
      <w:rFonts w:ascii="Palatino Linotype" w:eastAsia="Times New Roman" w:hAnsi="Palatino Linotype"/>
      <w:i/>
      <w:color w:val="000000"/>
      <w:kern w:val="2"/>
      <w:sz w:val="24"/>
      <w:szCs w:val="22"/>
      <w:lang w:eastAsia="de-CH"/>
      <w14:ligatures w14:val="standardContextual"/>
    </w:rPr>
  </w:style>
  <w:style w:type="paragraph" w:customStyle="1" w:styleId="MDPI32textnoindent">
    <w:name w:val="MDPI_3.2_text_no_indent"/>
    <w:basedOn w:val="MDPI31text"/>
    <w:qFormat/>
    <w:rsid w:val="00DE3654"/>
    <w:pPr>
      <w:ind w:firstLine="0"/>
    </w:pPr>
  </w:style>
  <w:style w:type="paragraph" w:customStyle="1" w:styleId="MDPI31text">
    <w:name w:val="MDPI_3.1_text"/>
    <w:qFormat/>
    <w:rsid w:val="00DE3654"/>
    <w:pPr>
      <w:adjustRightInd w:val="0"/>
      <w:snapToGrid w:val="0"/>
      <w:spacing w:line="228" w:lineRule="auto"/>
      <w:ind w:left="2608" w:firstLine="425"/>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3textspaceafter">
    <w:name w:val="MDPI_3.3_text_space_after"/>
    <w:qFormat/>
    <w:rsid w:val="00DE3654"/>
    <w:pPr>
      <w:adjustRightInd w:val="0"/>
      <w:snapToGrid w:val="0"/>
      <w:spacing w:after="240"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5textbeforelist">
    <w:name w:val="MDPI_3.5_text_before_list"/>
    <w:qFormat/>
    <w:rsid w:val="00DE3654"/>
    <w:pPr>
      <w:adjustRightInd w:val="0"/>
      <w:snapToGrid w:val="0"/>
      <w:spacing w:line="228" w:lineRule="auto"/>
      <w:ind w:left="2608" w:firstLine="425"/>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6textafterlist">
    <w:name w:val="MDPI_3.6_text_after_list"/>
    <w:qFormat/>
    <w:rsid w:val="00DE3654"/>
    <w:pPr>
      <w:adjustRightInd w:val="0"/>
      <w:snapToGrid w:val="0"/>
      <w:spacing w:before="120"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7itemize">
    <w:name w:val="MDPI_3.7_itemize"/>
    <w:qFormat/>
    <w:rsid w:val="00DE3654"/>
    <w:pPr>
      <w:numPr>
        <w:numId w:val="25"/>
      </w:numPr>
      <w:adjustRightInd w:val="0"/>
      <w:snapToGrid w:val="0"/>
      <w:spacing w:line="228" w:lineRule="auto"/>
      <w:jc w:val="both"/>
    </w:pPr>
    <w:rPr>
      <w:rFonts w:ascii="Palatino Linotype" w:eastAsia="Times New Roman" w:hAnsi="Palatino Linotype"/>
      <w:color w:val="000000"/>
      <w:kern w:val="2"/>
      <w:szCs w:val="22"/>
      <w:lang w:eastAsia="de-DE" w:bidi="en-US"/>
      <w14:ligatures w14:val="standardContextual"/>
    </w:rPr>
  </w:style>
  <w:style w:type="paragraph" w:customStyle="1" w:styleId="MDPI38bullet">
    <w:name w:val="MDPI_3.8_bullet"/>
    <w:qFormat/>
    <w:rsid w:val="00DE3654"/>
    <w:pPr>
      <w:numPr>
        <w:numId w:val="26"/>
      </w:numPr>
      <w:adjustRightInd w:val="0"/>
      <w:snapToGrid w:val="0"/>
      <w:spacing w:line="228" w:lineRule="auto"/>
      <w:jc w:val="both"/>
    </w:pPr>
    <w:rPr>
      <w:rFonts w:ascii="Palatino Linotype" w:eastAsia="Times New Roman" w:hAnsi="Palatino Linotype"/>
      <w:color w:val="000000"/>
      <w:kern w:val="2"/>
      <w:szCs w:val="22"/>
      <w:lang w:eastAsia="de-DE" w:bidi="en-US"/>
      <w14:ligatures w14:val="standardContextual"/>
    </w:rPr>
  </w:style>
  <w:style w:type="paragraph" w:customStyle="1" w:styleId="MDPI39equation">
    <w:name w:val="MDPI_3.9_equation"/>
    <w:qFormat/>
    <w:rsid w:val="00DE3654"/>
    <w:pPr>
      <w:adjustRightInd w:val="0"/>
      <w:snapToGrid w:val="0"/>
      <w:spacing w:before="120" w:after="120" w:line="260" w:lineRule="atLeast"/>
      <w:ind w:left="709"/>
      <w:jc w:val="center"/>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aequationnumber">
    <w:name w:val="MDPI_3.a_equation_number"/>
    <w:qFormat/>
    <w:rsid w:val="00DE3654"/>
    <w:pPr>
      <w:spacing w:before="120" w:after="120"/>
      <w:jc w:val="right"/>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41tablecaption">
    <w:name w:val="MDPI_4.1_table_caption"/>
    <w:qFormat/>
    <w:rsid w:val="00DE3654"/>
    <w:pPr>
      <w:adjustRightInd w:val="0"/>
      <w:snapToGrid w:val="0"/>
      <w:spacing w:before="240" w:after="120" w:line="228" w:lineRule="auto"/>
      <w:ind w:left="2608"/>
    </w:pPr>
    <w:rPr>
      <w:rFonts w:ascii="Palatino Linotype" w:eastAsia="Times New Roman" w:hAnsi="Palatino Linotype" w:cstheme="minorBidi"/>
      <w:color w:val="000000"/>
      <w:kern w:val="2"/>
      <w:sz w:val="18"/>
      <w:szCs w:val="22"/>
      <w:lang w:eastAsia="de-DE" w:bidi="en-US"/>
      <w14:ligatures w14:val="standardContextual"/>
    </w:rPr>
  </w:style>
  <w:style w:type="paragraph" w:customStyle="1" w:styleId="MDPI42tablebody">
    <w:name w:val="MDPI_4.2_table_body"/>
    <w:qFormat/>
    <w:rsid w:val="00DE3654"/>
    <w:pPr>
      <w:adjustRightInd w:val="0"/>
      <w:snapToGrid w:val="0"/>
      <w:jc w:val="center"/>
    </w:pPr>
    <w:rPr>
      <w:rFonts w:ascii="Palatino Linotype" w:eastAsia="Times New Roman" w:hAnsi="Palatino Linotype"/>
      <w:snapToGrid w:val="0"/>
      <w:color w:val="000000"/>
      <w:kern w:val="2"/>
      <w:lang w:eastAsia="de-DE" w:bidi="en-US"/>
      <w14:ligatures w14:val="standardContextual"/>
    </w:rPr>
  </w:style>
  <w:style w:type="paragraph" w:customStyle="1" w:styleId="MDPI43tablefooter">
    <w:name w:val="MDPI_4.3_table_footer"/>
    <w:next w:val="MDPI31text"/>
    <w:qFormat/>
    <w:rsid w:val="00DE3654"/>
    <w:pPr>
      <w:adjustRightInd w:val="0"/>
      <w:snapToGrid w:val="0"/>
      <w:spacing w:line="228" w:lineRule="auto"/>
      <w:ind w:left="2608"/>
    </w:pPr>
    <w:rPr>
      <w:rFonts w:ascii="Palatino Linotype" w:eastAsia="Times New Roman" w:hAnsi="Palatino Linotype" w:cs="Cordia New"/>
      <w:color w:val="000000"/>
      <w:kern w:val="2"/>
      <w:sz w:val="18"/>
      <w:szCs w:val="22"/>
      <w:lang w:eastAsia="de-DE" w:bidi="en-US"/>
      <w14:ligatures w14:val="standardContextual"/>
    </w:rPr>
  </w:style>
  <w:style w:type="paragraph" w:customStyle="1" w:styleId="MDPI51figurecaption">
    <w:name w:val="MDPI_5.1_figure_caption"/>
    <w:qFormat/>
    <w:rsid w:val="00DE3654"/>
    <w:pPr>
      <w:adjustRightInd w:val="0"/>
      <w:snapToGrid w:val="0"/>
      <w:spacing w:before="120" w:after="240" w:line="228" w:lineRule="auto"/>
      <w:ind w:left="2608"/>
    </w:pPr>
    <w:rPr>
      <w:rFonts w:ascii="Palatino Linotype" w:eastAsia="Times New Roman" w:hAnsi="Palatino Linotype"/>
      <w:color w:val="000000"/>
      <w:kern w:val="2"/>
      <w:sz w:val="18"/>
      <w:lang w:eastAsia="de-DE" w:bidi="en-US"/>
      <w14:ligatures w14:val="standardContextual"/>
    </w:rPr>
  </w:style>
  <w:style w:type="paragraph" w:customStyle="1" w:styleId="MDPI52figure">
    <w:name w:val="MDPI_5.2_figure"/>
    <w:qFormat/>
    <w:rsid w:val="00DE3654"/>
    <w:pPr>
      <w:adjustRightInd w:val="0"/>
      <w:snapToGrid w:val="0"/>
      <w:spacing w:before="240" w:after="120"/>
      <w:jc w:val="center"/>
    </w:pPr>
    <w:rPr>
      <w:rFonts w:ascii="Palatino Linotype" w:eastAsia="Times New Roman" w:hAnsi="Palatino Linotype"/>
      <w:snapToGrid w:val="0"/>
      <w:color w:val="000000"/>
      <w:kern w:val="2"/>
      <w:lang w:eastAsia="de-DE" w:bidi="en-US"/>
      <w14:ligatures w14:val="standardContextual"/>
    </w:rPr>
  </w:style>
  <w:style w:type="paragraph" w:customStyle="1" w:styleId="MDPI23heading3">
    <w:name w:val="MDPI_2.3_heading3"/>
    <w:qFormat/>
    <w:rsid w:val="00DE3654"/>
    <w:pPr>
      <w:adjustRightInd w:val="0"/>
      <w:snapToGrid w:val="0"/>
      <w:spacing w:before="60" w:after="60" w:line="228" w:lineRule="auto"/>
      <w:ind w:left="2608"/>
      <w:outlineLvl w:val="2"/>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21heading1">
    <w:name w:val="MDPI_2.1_heading1"/>
    <w:qFormat/>
    <w:rsid w:val="00DE3654"/>
    <w:pPr>
      <w:adjustRightInd w:val="0"/>
      <w:snapToGrid w:val="0"/>
      <w:spacing w:before="240" w:after="60" w:line="228" w:lineRule="auto"/>
      <w:ind w:left="2608"/>
      <w:outlineLvl w:val="0"/>
    </w:pPr>
    <w:rPr>
      <w:rFonts w:ascii="Palatino Linotype" w:eastAsia="Times New Roman" w:hAnsi="Palatino Linotype"/>
      <w:b/>
      <w:snapToGrid w:val="0"/>
      <w:color w:val="000000"/>
      <w:kern w:val="2"/>
      <w:szCs w:val="22"/>
      <w:lang w:eastAsia="de-DE" w:bidi="en-US"/>
      <w14:ligatures w14:val="standardContextual"/>
    </w:rPr>
  </w:style>
  <w:style w:type="paragraph" w:customStyle="1" w:styleId="MDPI22heading2">
    <w:name w:val="MDPI_2.2_heading2"/>
    <w:qFormat/>
    <w:rsid w:val="00DE3654"/>
    <w:pPr>
      <w:adjustRightInd w:val="0"/>
      <w:snapToGrid w:val="0"/>
      <w:spacing w:before="60" w:after="60" w:line="228" w:lineRule="auto"/>
      <w:ind w:left="2608"/>
      <w:outlineLvl w:val="1"/>
    </w:pPr>
    <w:rPr>
      <w:rFonts w:ascii="Palatino Linotype" w:eastAsia="Times New Roman" w:hAnsi="Palatino Linotype"/>
      <w:i/>
      <w:noProof/>
      <w:snapToGrid w:val="0"/>
      <w:color w:val="000000"/>
      <w:kern w:val="2"/>
      <w:szCs w:val="22"/>
      <w:lang w:eastAsia="de-DE" w:bidi="en-US"/>
      <w14:ligatures w14:val="standardContextual"/>
    </w:rPr>
  </w:style>
  <w:style w:type="paragraph" w:customStyle="1" w:styleId="MDPI71References">
    <w:name w:val="MDPI_7.1_References"/>
    <w:qFormat/>
    <w:rsid w:val="00915A3E"/>
    <w:pPr>
      <w:numPr>
        <w:numId w:val="28"/>
      </w:numPr>
      <w:adjustRightInd w:val="0"/>
      <w:snapToGrid w:val="0"/>
      <w:spacing w:line="228" w:lineRule="auto"/>
      <w:jc w:val="both"/>
    </w:pPr>
    <w:rPr>
      <w:rFonts w:ascii="Palatino Linotype" w:eastAsia="Times New Roman" w:hAnsi="Palatino Linotype"/>
      <w:color w:val="000000"/>
      <w:kern w:val="2"/>
      <w:sz w:val="18"/>
      <w:lang w:eastAsia="de-DE" w:bidi="en-US"/>
      <w14:ligatures w14:val="standardContextual"/>
    </w:rPr>
  </w:style>
  <w:style w:type="paragraph" w:styleId="BalloonText">
    <w:name w:val="Balloon Text"/>
    <w:basedOn w:val="Normal"/>
    <w:link w:val="BalloonTextChar"/>
    <w:uiPriority w:val="99"/>
    <w:rsid w:val="00937EA2"/>
    <w:rPr>
      <w:rFonts w:cs="Tahoma"/>
      <w:szCs w:val="18"/>
    </w:rPr>
  </w:style>
  <w:style w:type="character" w:customStyle="1" w:styleId="BalloonTextChar">
    <w:name w:val="Balloon Text Char"/>
    <w:link w:val="BalloonText"/>
    <w:uiPriority w:val="99"/>
    <w:rsid w:val="00937EA2"/>
    <w:rPr>
      <w:rFonts w:ascii="Palatino Linotype" w:hAnsi="Palatino Linotype" w:cs="Tahoma"/>
      <w:noProof/>
      <w:color w:val="000000"/>
      <w:szCs w:val="18"/>
    </w:rPr>
  </w:style>
  <w:style w:type="character" w:styleId="LineNumber">
    <w:name w:val="line number"/>
    <w:uiPriority w:val="99"/>
    <w:rsid w:val="000779E3"/>
    <w:rPr>
      <w:rFonts w:ascii="Palatino Linotype" w:hAnsi="Palatino Linotype"/>
      <w:sz w:val="16"/>
    </w:rPr>
  </w:style>
  <w:style w:type="table" w:customStyle="1" w:styleId="MDPI41threelinetable">
    <w:name w:val="MDPI_4.1_three_line_table"/>
    <w:basedOn w:val="TableNormal"/>
    <w:uiPriority w:val="99"/>
    <w:rsid w:val="00DE3654"/>
    <w:pPr>
      <w:adjustRightInd w:val="0"/>
      <w:snapToGrid w:val="0"/>
      <w:jc w:val="center"/>
    </w:pPr>
    <w:rPr>
      <w:rFonts w:ascii="Palatino Linotype" w:eastAsiaTheme="minorEastAsia" w:hAnsi="Palatino Linotype"/>
      <w:color w:val="000000"/>
      <w:kern w:val="2"/>
      <w14:ligatures w14:val="standardContextual"/>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937EA2"/>
    <w:rPr>
      <w:color w:val="0000FF"/>
      <w:u w:val="single"/>
    </w:rPr>
  </w:style>
  <w:style w:type="character" w:styleId="UnresolvedMention">
    <w:name w:val="Unresolved Mention"/>
    <w:uiPriority w:val="99"/>
    <w:semiHidden/>
    <w:unhideWhenUsed/>
    <w:rsid w:val="007907E9"/>
    <w:rPr>
      <w:color w:val="605E5C"/>
      <w:shd w:val="clear" w:color="auto" w:fill="E1DFDD"/>
    </w:rPr>
  </w:style>
  <w:style w:type="table" w:styleId="PlainTable4">
    <w:name w:val="Plain Table 4"/>
    <w:basedOn w:val="Table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DE3654"/>
    <w:pPr>
      <w:adjustRightInd w:val="0"/>
      <w:snapToGrid w:val="0"/>
      <w:spacing w:before="240"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81theorem">
    <w:name w:val="MDPI_8.1_theorem"/>
    <w:qFormat/>
    <w:rsid w:val="00DE3654"/>
    <w:pPr>
      <w:adjustRightInd w:val="0"/>
      <w:snapToGrid w:val="0"/>
      <w:spacing w:line="228" w:lineRule="auto"/>
      <w:ind w:left="2608"/>
      <w:jc w:val="both"/>
    </w:pPr>
    <w:rPr>
      <w:rFonts w:ascii="Palatino Linotype" w:eastAsia="Times New Roman" w:hAnsi="Palatino Linotype"/>
      <w:i/>
      <w:snapToGrid w:val="0"/>
      <w:color w:val="000000"/>
      <w:kern w:val="2"/>
      <w:szCs w:val="22"/>
      <w:lang w:eastAsia="de-DE" w:bidi="en-US"/>
      <w14:ligatures w14:val="standardContextual"/>
    </w:rPr>
  </w:style>
  <w:style w:type="paragraph" w:customStyle="1" w:styleId="MDPI82proof">
    <w:name w:val="MDPI_8.2_proof"/>
    <w:qFormat/>
    <w:rsid w:val="00DE3654"/>
    <w:pPr>
      <w:adjustRightInd w:val="0"/>
      <w:snapToGrid w:val="0"/>
      <w:spacing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61Citation">
    <w:name w:val="MDPI_6.1_Citation"/>
    <w:qFormat/>
    <w:rsid w:val="00DE3654"/>
    <w:pPr>
      <w:adjustRightInd w:val="0"/>
      <w:snapToGrid w:val="0"/>
      <w:spacing w:line="240" w:lineRule="atLeast"/>
      <w:ind w:right="113"/>
    </w:pPr>
    <w:rPr>
      <w:rFonts w:ascii="Palatino Linotype" w:hAnsi="Palatino Linotype" w:cs="Cordia New"/>
      <w:kern w:val="2"/>
      <w:sz w:val="14"/>
      <w:szCs w:val="22"/>
      <w14:ligatures w14:val="standardContextual"/>
    </w:rPr>
  </w:style>
  <w:style w:type="paragraph" w:customStyle="1" w:styleId="MDPI62BackMatter">
    <w:name w:val="MDPI_6.2_BackMatter"/>
    <w:qFormat/>
    <w:rsid w:val="00DE3654"/>
    <w:pPr>
      <w:adjustRightInd w:val="0"/>
      <w:snapToGrid w:val="0"/>
      <w:spacing w:after="120" w:line="228" w:lineRule="auto"/>
      <w:ind w:left="2608"/>
      <w:jc w:val="both"/>
    </w:pPr>
    <w:rPr>
      <w:rFonts w:ascii="Palatino Linotype" w:eastAsia="Times New Roman" w:hAnsi="Palatino Linotype"/>
      <w:snapToGrid w:val="0"/>
      <w:color w:val="000000"/>
      <w:kern w:val="2"/>
      <w:sz w:val="18"/>
      <w:lang w:eastAsia="en-US" w:bidi="en-US"/>
      <w14:ligatures w14:val="standardContextual"/>
    </w:rPr>
  </w:style>
  <w:style w:type="paragraph" w:customStyle="1" w:styleId="MDPI63Notes">
    <w:name w:val="MDPI_6.3_Notes"/>
    <w:qFormat/>
    <w:rsid w:val="00DE3654"/>
    <w:pPr>
      <w:adjustRightInd w:val="0"/>
      <w:snapToGrid w:val="0"/>
      <w:spacing w:before="240" w:line="228" w:lineRule="auto"/>
      <w:jc w:val="both"/>
    </w:pPr>
    <w:rPr>
      <w:rFonts w:ascii="Palatino Linotype" w:hAnsi="Palatino Linotype"/>
      <w:snapToGrid w:val="0"/>
      <w:color w:val="000000"/>
      <w:kern w:val="2"/>
      <w:sz w:val="18"/>
      <w:lang w:eastAsia="en-US" w:bidi="en-US"/>
      <w14:ligatures w14:val="standardContextual"/>
    </w:rPr>
  </w:style>
  <w:style w:type="paragraph" w:customStyle="1" w:styleId="MDPI15academiceditor">
    <w:name w:val="MDPI_1.5_academic_editor"/>
    <w:qFormat/>
    <w:rsid w:val="00DE3654"/>
    <w:pPr>
      <w:adjustRightInd w:val="0"/>
      <w:snapToGrid w:val="0"/>
      <w:spacing w:before="120" w:line="240" w:lineRule="atLeast"/>
      <w:ind w:right="113"/>
    </w:pPr>
    <w:rPr>
      <w:rFonts w:ascii="Palatino Linotype" w:eastAsia="Times New Roman" w:hAnsi="Palatino Linotype"/>
      <w:color w:val="000000"/>
      <w:kern w:val="2"/>
      <w:sz w:val="14"/>
      <w:szCs w:val="22"/>
      <w:lang w:eastAsia="de-DE" w:bidi="en-US"/>
      <w14:ligatures w14:val="standardContextual"/>
    </w:rPr>
  </w:style>
  <w:style w:type="paragraph" w:customStyle="1" w:styleId="MDPI19classification">
    <w:name w:val="MDPI_1.9_classification"/>
    <w:qFormat/>
    <w:rsid w:val="00DE3654"/>
    <w:pPr>
      <w:spacing w:before="240" w:line="260" w:lineRule="atLeast"/>
      <w:ind w:left="113"/>
      <w:jc w:val="both"/>
    </w:pPr>
    <w:rPr>
      <w:rFonts w:ascii="Palatino Linotype" w:eastAsia="Times New Roman" w:hAnsi="Palatino Linotype"/>
      <w:b/>
      <w:color w:val="000000"/>
      <w:kern w:val="2"/>
      <w:szCs w:val="22"/>
      <w:lang w:eastAsia="de-DE" w:bidi="en-US"/>
      <w14:ligatures w14:val="standardContextual"/>
    </w:rPr>
  </w:style>
  <w:style w:type="paragraph" w:customStyle="1" w:styleId="MDPI411onetablecaption">
    <w:name w:val="MDPI_4.1.1_one_table_caption"/>
    <w:qFormat/>
    <w:rsid w:val="00DE3654"/>
    <w:pPr>
      <w:adjustRightInd w:val="0"/>
      <w:snapToGrid w:val="0"/>
      <w:spacing w:before="240" w:after="120" w:line="260" w:lineRule="atLeast"/>
      <w:jc w:val="center"/>
    </w:pPr>
    <w:rPr>
      <w:rFonts w:ascii="Palatino Linotype" w:eastAsiaTheme="minorEastAsia" w:hAnsi="Palatino Linotype" w:cstheme="minorBidi"/>
      <w:noProof/>
      <w:color w:val="000000"/>
      <w:kern w:val="2"/>
      <w:sz w:val="18"/>
      <w:szCs w:val="22"/>
      <w:lang w:bidi="en-US"/>
      <w14:ligatures w14:val="standardContextual"/>
    </w:rPr>
  </w:style>
  <w:style w:type="paragraph" w:customStyle="1" w:styleId="MDPI511onefigurecaption">
    <w:name w:val="MDPI_5.1.1_one_figure_caption"/>
    <w:qFormat/>
    <w:rsid w:val="00DE3654"/>
    <w:pPr>
      <w:adjustRightInd w:val="0"/>
      <w:snapToGrid w:val="0"/>
      <w:spacing w:before="240" w:after="120" w:line="260" w:lineRule="atLeast"/>
      <w:jc w:val="center"/>
    </w:pPr>
    <w:rPr>
      <w:rFonts w:ascii="Palatino Linotype" w:eastAsiaTheme="minorEastAsia" w:hAnsi="Palatino Linotype"/>
      <w:noProof/>
      <w:color w:val="000000"/>
      <w:kern w:val="2"/>
      <w:sz w:val="18"/>
      <w:lang w:bidi="en-US"/>
      <w14:ligatures w14:val="standardContextual"/>
    </w:rPr>
  </w:style>
  <w:style w:type="paragraph" w:customStyle="1" w:styleId="MDPI72Copyright">
    <w:name w:val="MDPI_7.2_Copyright"/>
    <w:qFormat/>
    <w:rsid w:val="00DE3654"/>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DE3654"/>
    <w:pPr>
      <w:adjustRightInd w:val="0"/>
      <w:snapToGrid w:val="0"/>
      <w:spacing w:after="100" w:line="260" w:lineRule="atLeast"/>
      <w:jc w:val="right"/>
    </w:pPr>
    <w:rPr>
      <w:rFonts w:ascii="Palatino Linotype" w:eastAsia="Times New Roman" w:hAnsi="Palatino Linotype"/>
      <w:color w:val="000000"/>
      <w:kern w:val="2"/>
      <w:lang w:eastAsia="de-CH"/>
      <w14:ligatures w14:val="standardContextual"/>
    </w:rPr>
  </w:style>
  <w:style w:type="paragraph" w:customStyle="1" w:styleId="MDPIequationFram">
    <w:name w:val="MDPI_equationFram"/>
    <w:qFormat/>
    <w:rsid w:val="00DE3654"/>
    <w:pPr>
      <w:adjustRightInd w:val="0"/>
      <w:snapToGrid w:val="0"/>
      <w:spacing w:before="120" w:after="120"/>
      <w:jc w:val="center"/>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footer">
    <w:name w:val="MDPI_footer"/>
    <w:qFormat/>
    <w:rsid w:val="00DE3654"/>
    <w:pPr>
      <w:adjustRightInd w:val="0"/>
      <w:snapToGrid w:val="0"/>
      <w:spacing w:before="120" w:line="260" w:lineRule="atLeast"/>
      <w:jc w:val="center"/>
    </w:pPr>
    <w:rPr>
      <w:rFonts w:ascii="Palatino Linotype" w:eastAsia="Times New Roman" w:hAnsi="Palatino Linotype"/>
      <w:color w:val="000000"/>
      <w:kern w:val="2"/>
      <w:lang w:eastAsia="de-DE"/>
      <w14:ligatures w14:val="standardContextual"/>
    </w:rPr>
  </w:style>
  <w:style w:type="paragraph" w:customStyle="1" w:styleId="MDPIfooterfirstpage">
    <w:name w:val="MDPI_footer_firstpage"/>
    <w:qFormat/>
    <w:rsid w:val="00DE3654"/>
    <w:pPr>
      <w:tabs>
        <w:tab w:val="right" w:pos="8845"/>
      </w:tabs>
      <w:spacing w:line="160" w:lineRule="exact"/>
    </w:pPr>
    <w:rPr>
      <w:rFonts w:ascii="Palatino Linotype" w:eastAsia="Times New Roman" w:hAnsi="Palatino Linotype"/>
      <w:color w:val="000000"/>
      <w:kern w:val="2"/>
      <w:sz w:val="16"/>
      <w:lang w:eastAsia="de-DE"/>
      <w14:ligatures w14:val="standardContextual"/>
    </w:rPr>
  </w:style>
  <w:style w:type="paragraph" w:customStyle="1" w:styleId="MDPIheader">
    <w:name w:val="MDPI_header"/>
    <w:qFormat/>
    <w:rsid w:val="00DE3654"/>
    <w:pPr>
      <w:adjustRightInd w:val="0"/>
      <w:snapToGrid w:val="0"/>
      <w:spacing w:after="240" w:line="260" w:lineRule="atLeast"/>
      <w:jc w:val="both"/>
    </w:pPr>
    <w:rPr>
      <w:rFonts w:ascii="Palatino Linotype" w:eastAsia="Times New Roman" w:hAnsi="Palatino Linotype"/>
      <w:iCs/>
      <w:color w:val="000000"/>
      <w:kern w:val="2"/>
      <w:sz w:val="16"/>
      <w:lang w:eastAsia="de-DE"/>
      <w14:ligatures w14:val="standardContextual"/>
    </w:rPr>
  </w:style>
  <w:style w:type="paragraph" w:customStyle="1" w:styleId="MDPIheadercitation">
    <w:name w:val="MDPI_header_citation"/>
    <w:rsid w:val="00DE3654"/>
    <w:pPr>
      <w:spacing w:after="240"/>
    </w:pPr>
    <w:rPr>
      <w:rFonts w:ascii="Palatino Linotype" w:eastAsia="Times New Roman" w:hAnsi="Palatino Linotype"/>
      <w:snapToGrid w:val="0"/>
      <w:color w:val="000000"/>
      <w:kern w:val="2"/>
      <w:sz w:val="18"/>
      <w:lang w:eastAsia="de-DE" w:bidi="en-US"/>
      <w14:ligatures w14:val="standardContextual"/>
    </w:rPr>
  </w:style>
  <w:style w:type="paragraph" w:customStyle="1" w:styleId="MDPIheadermdpilogo">
    <w:name w:val="MDPI_header_mdpi_logo"/>
    <w:qFormat/>
    <w:rsid w:val="00DE3654"/>
    <w:pPr>
      <w:adjustRightInd w:val="0"/>
      <w:snapToGrid w:val="0"/>
      <w:spacing w:line="260" w:lineRule="atLeast"/>
      <w:jc w:val="right"/>
    </w:pPr>
    <w:rPr>
      <w:rFonts w:ascii="Palatino Linotype" w:eastAsia="Times New Roman" w:hAnsi="Palatino Linotype"/>
      <w:color w:val="000000"/>
      <w:kern w:val="2"/>
      <w:sz w:val="24"/>
      <w:szCs w:val="22"/>
      <w:lang w:eastAsia="de-CH"/>
      <w14:ligatures w14:val="standardContextual"/>
    </w:rPr>
  </w:style>
  <w:style w:type="table" w:customStyle="1" w:styleId="MDPITable">
    <w:name w:val="MDPI_Table"/>
    <w:basedOn w:val="TableNormal"/>
    <w:uiPriority w:val="99"/>
    <w:rsid w:val="00DE3654"/>
    <w:rPr>
      <w:rFonts w:ascii="Palatino Linotype" w:hAnsi="Palatino Linotype"/>
      <w:color w:val="000000" w:themeColor="text1"/>
      <w:kern w:val="2"/>
      <w:lang w:val="en-CA" w:eastAsia="en-US"/>
      <w14:ligatures w14:val="standardContextual"/>
    </w:rPr>
    <w:tblPr>
      <w:tblCellMar>
        <w:left w:w="0" w:type="dxa"/>
        <w:right w:w="0" w:type="dxa"/>
      </w:tblCellMar>
    </w:tblPr>
  </w:style>
  <w:style w:type="paragraph" w:customStyle="1" w:styleId="MDPItext">
    <w:name w:val="MDPI_text"/>
    <w:qFormat/>
    <w:rsid w:val="00DE3654"/>
    <w:pPr>
      <w:spacing w:line="260" w:lineRule="atLeast"/>
      <w:ind w:left="425" w:right="425" w:firstLine="284"/>
      <w:jc w:val="both"/>
    </w:pPr>
    <w:rPr>
      <w:rFonts w:ascii="Times New Roman" w:eastAsia="Times New Roman" w:hAnsi="Times New Roman"/>
      <w:noProof/>
      <w:snapToGrid w:val="0"/>
      <w:color w:val="000000"/>
      <w:kern w:val="2"/>
      <w:sz w:val="22"/>
      <w:szCs w:val="22"/>
      <w:lang w:eastAsia="de-DE" w:bidi="en-US"/>
      <w14:ligatures w14:val="standardContextual"/>
    </w:rPr>
  </w:style>
  <w:style w:type="paragraph" w:customStyle="1" w:styleId="MDPItitle">
    <w:name w:val="MDPI_title"/>
    <w:qFormat/>
    <w:rsid w:val="00DE3654"/>
    <w:pPr>
      <w:adjustRightInd w:val="0"/>
      <w:snapToGrid w:val="0"/>
      <w:spacing w:after="240" w:line="260" w:lineRule="atLeast"/>
      <w:jc w:val="both"/>
    </w:pPr>
    <w:rPr>
      <w:rFonts w:ascii="Palatino Linotype" w:eastAsia="Times New Roman" w:hAnsi="Palatino Linotype"/>
      <w:b/>
      <w:snapToGrid w:val="0"/>
      <w:color w:val="000000"/>
      <w:kern w:val="2"/>
      <w:sz w:val="36"/>
      <w:lang w:eastAsia="de-DE" w:bidi="en-US"/>
      <w14:ligatures w14:val="standardContextual"/>
    </w:rPr>
  </w:style>
  <w:style w:type="character" w:customStyle="1" w:styleId="apple-converted-space">
    <w:name w:val="apple-converted-space"/>
    <w:rsid w:val="00937EA2"/>
  </w:style>
  <w:style w:type="paragraph" w:styleId="Bibliography">
    <w:name w:val="Bibliography"/>
    <w:basedOn w:val="Normal"/>
    <w:next w:val="Normal"/>
    <w:uiPriority w:val="37"/>
    <w:semiHidden/>
    <w:unhideWhenUsed/>
    <w:rsid w:val="00937EA2"/>
  </w:style>
  <w:style w:type="paragraph" w:styleId="BodyText">
    <w:name w:val="Body Text"/>
    <w:link w:val="BodyTextChar"/>
    <w:rsid w:val="00937EA2"/>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937EA2"/>
    <w:rPr>
      <w:rFonts w:ascii="Palatino Linotype" w:hAnsi="Palatino Linotype"/>
      <w:color w:val="000000"/>
      <w:sz w:val="24"/>
      <w:lang w:eastAsia="de-DE"/>
    </w:rPr>
  </w:style>
  <w:style w:type="character" w:styleId="CommentReference">
    <w:name w:val="annotation reference"/>
    <w:rsid w:val="00937EA2"/>
    <w:rPr>
      <w:sz w:val="21"/>
      <w:szCs w:val="21"/>
    </w:rPr>
  </w:style>
  <w:style w:type="paragraph" w:styleId="CommentText">
    <w:name w:val="annotation text"/>
    <w:basedOn w:val="Normal"/>
    <w:link w:val="CommentTextChar"/>
    <w:rsid w:val="00937EA2"/>
  </w:style>
  <w:style w:type="character" w:customStyle="1" w:styleId="CommentTextChar">
    <w:name w:val="Comment Text Char"/>
    <w:link w:val="CommentText"/>
    <w:rsid w:val="00937EA2"/>
    <w:rPr>
      <w:rFonts w:ascii="Palatino Linotype" w:hAnsi="Palatino Linotype"/>
      <w:noProof/>
      <w:color w:val="000000"/>
    </w:rPr>
  </w:style>
  <w:style w:type="paragraph" w:styleId="CommentSubject">
    <w:name w:val="annotation subject"/>
    <w:basedOn w:val="CommentText"/>
    <w:next w:val="CommentText"/>
    <w:link w:val="CommentSubjectChar"/>
    <w:rsid w:val="00937EA2"/>
    <w:rPr>
      <w:b/>
      <w:bCs/>
    </w:rPr>
  </w:style>
  <w:style w:type="character" w:customStyle="1" w:styleId="CommentSubjectChar">
    <w:name w:val="Comment Subject Char"/>
    <w:link w:val="CommentSubject"/>
    <w:rsid w:val="00937EA2"/>
    <w:rPr>
      <w:rFonts w:ascii="Palatino Linotype" w:hAnsi="Palatino Linotype"/>
      <w:b/>
      <w:bCs/>
      <w:noProof/>
      <w:color w:val="000000"/>
    </w:rPr>
  </w:style>
  <w:style w:type="character" w:styleId="EndnoteReference">
    <w:name w:val="endnote reference"/>
    <w:rsid w:val="00937EA2"/>
    <w:rPr>
      <w:vertAlign w:val="superscript"/>
    </w:rPr>
  </w:style>
  <w:style w:type="paragraph" w:styleId="EndnoteText">
    <w:name w:val="endnote text"/>
    <w:basedOn w:val="Normal"/>
    <w:link w:val="EndnoteTextChar"/>
    <w:semiHidden/>
    <w:unhideWhenUsed/>
    <w:rsid w:val="00937EA2"/>
    <w:pPr>
      <w:spacing w:line="240" w:lineRule="auto"/>
    </w:pPr>
  </w:style>
  <w:style w:type="character" w:customStyle="1" w:styleId="EndnoteTextChar">
    <w:name w:val="Endnote Text Char"/>
    <w:link w:val="EndnoteText"/>
    <w:semiHidden/>
    <w:rsid w:val="00937EA2"/>
    <w:rPr>
      <w:rFonts w:ascii="Palatino Linotype" w:hAnsi="Palatino Linotype"/>
      <w:noProof/>
      <w:color w:val="000000"/>
    </w:rPr>
  </w:style>
  <w:style w:type="character" w:styleId="FollowedHyperlink">
    <w:name w:val="FollowedHyperlink"/>
    <w:rsid w:val="00937EA2"/>
    <w:rPr>
      <w:color w:val="954F72"/>
      <w:u w:val="single"/>
    </w:rPr>
  </w:style>
  <w:style w:type="paragraph" w:styleId="FootnoteText">
    <w:name w:val="footnote text"/>
    <w:basedOn w:val="Normal"/>
    <w:link w:val="FootnoteTextChar"/>
    <w:semiHidden/>
    <w:unhideWhenUsed/>
    <w:rsid w:val="00937EA2"/>
    <w:pPr>
      <w:spacing w:line="240" w:lineRule="auto"/>
    </w:pPr>
  </w:style>
  <w:style w:type="character" w:customStyle="1" w:styleId="FootnoteTextChar">
    <w:name w:val="Footnote Text Char"/>
    <w:link w:val="FootnoteText"/>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PageNumber">
    <w:name w:val="page number"/>
    <w:rsid w:val="00937EA2"/>
  </w:style>
  <w:style w:type="character" w:styleId="PlaceholderText">
    <w:name w:val="Placeholder Text"/>
    <w:uiPriority w:val="99"/>
    <w:semiHidden/>
    <w:rsid w:val="00937EA2"/>
    <w:rPr>
      <w:color w:val="808080"/>
    </w:rPr>
  </w:style>
  <w:style w:type="paragraph" w:customStyle="1" w:styleId="MDPI71FootNotes">
    <w:name w:val="MDPI_7.1_FootNotes"/>
    <w:qFormat/>
    <w:rsid w:val="00DE3654"/>
    <w:pPr>
      <w:numPr>
        <w:numId w:val="27"/>
      </w:numPr>
      <w:adjustRightInd w:val="0"/>
      <w:snapToGrid w:val="0"/>
      <w:spacing w:line="228" w:lineRule="auto"/>
    </w:pPr>
    <w:rPr>
      <w:rFonts w:ascii="Palatino Linotype" w:eastAsiaTheme="minorEastAsia" w:hAnsi="Palatino Linotype"/>
      <w:noProof/>
      <w:color w:val="000000"/>
      <w:kern w:val="2"/>
      <w:sz w:val="18"/>
      <w14:ligatures w14:val="standardContextual"/>
    </w:rPr>
  </w:style>
  <w:style w:type="paragraph" w:styleId="ListParagraph">
    <w:name w:val="List Paragraph"/>
    <w:basedOn w:val="Normal"/>
    <w:uiPriority w:val="34"/>
    <w:qFormat/>
    <w:rsid w:val="00343B94"/>
    <w:pPr>
      <w:spacing w:after="160" w:line="259" w:lineRule="auto"/>
      <w:ind w:left="720"/>
      <w:contextualSpacing/>
      <w:jc w:val="left"/>
    </w:pPr>
    <w:rPr>
      <w:rFonts w:ascii="Calibri" w:eastAsia="Calibri" w:hAnsi="Calibri" w:cs="Calibri"/>
      <w:noProof w:val="0"/>
      <w:color w:val="auto"/>
      <w:sz w:val="22"/>
      <w:szCs w:val="22"/>
      <w:lang w:eastAsia="en-US"/>
    </w:rPr>
  </w:style>
  <w:style w:type="paragraph" w:customStyle="1" w:styleId="EndNoteBibliography">
    <w:name w:val="EndNote Bibliography"/>
    <w:basedOn w:val="Normal"/>
    <w:link w:val="EndNoteBibliographyChar"/>
    <w:rsid w:val="00343B94"/>
    <w:pPr>
      <w:spacing w:after="160" w:line="240" w:lineRule="auto"/>
      <w:jc w:val="left"/>
    </w:pPr>
    <w:rPr>
      <w:rFonts w:ascii="Calibri" w:eastAsiaTheme="minorHAnsi" w:hAnsi="Calibri" w:cs="Calibri"/>
      <w:color w:val="auto"/>
      <w:sz w:val="22"/>
      <w:szCs w:val="22"/>
      <w:lang w:eastAsia="en-US"/>
    </w:rPr>
  </w:style>
  <w:style w:type="character" w:customStyle="1" w:styleId="EndNoteBibliographyChar">
    <w:name w:val="EndNote Bibliography Char"/>
    <w:basedOn w:val="DefaultParagraphFont"/>
    <w:link w:val="EndNoteBibliography"/>
    <w:rsid w:val="00343B94"/>
    <w:rPr>
      <w:rFonts w:eastAsiaTheme="minorHAnsi" w:cs="Calibri"/>
      <w:noProof/>
      <w:sz w:val="22"/>
      <w:szCs w:val="22"/>
      <w:lang w:eastAsia="en-US"/>
    </w:rPr>
  </w:style>
  <w:style w:type="character" w:customStyle="1" w:styleId="field-desc">
    <w:name w:val="field-desc"/>
    <w:basedOn w:val="DefaultParagraphFont"/>
    <w:rsid w:val="00DE3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ea%20Puia\Desktop\Word%20templates\futurepharmacol-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futurepharmacol-template</Template>
  <TotalTime>11</TotalTime>
  <Pages>12</Pages>
  <Words>5390</Words>
  <Characters>31317</Characters>
  <Application>Microsoft Office Word</Application>
  <DocSecurity>0</DocSecurity>
  <Lines>824</Lines>
  <Paragraphs>489</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36218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Andreea Puia</dc:creator>
  <cp:keywords/>
  <dc:description/>
  <cp:lastModifiedBy>MDPI-27</cp:lastModifiedBy>
  <cp:revision>2</cp:revision>
  <dcterms:created xsi:type="dcterms:W3CDTF">2023-12-07T12:25:00Z</dcterms:created>
  <dcterms:modified xsi:type="dcterms:W3CDTF">2023-12-07T12:36:00Z</dcterms:modified>
</cp:coreProperties>
</file>